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9CE4" w14:textId="77777777" w:rsidR="007A6526" w:rsidRPr="007A6526" w:rsidRDefault="007A6526" w:rsidP="007A6526">
      <w:pPr>
        <w:spacing w:before="200" w:after="100" w:line="259" w:lineRule="auto"/>
        <w:outlineLvl w:val="2"/>
        <w:rPr>
          <w:rFonts w:ascii="Arial Bold" w:eastAsia="Arial" w:hAnsi="Arial Bold" w:cs="Times New Roman"/>
          <w:b/>
          <w:noProof/>
          <w:color w:val="0934C1"/>
          <w:kern w:val="0"/>
          <w:lang w:val="en-NZ"/>
          <w14:ligatures w14:val="none"/>
        </w:rPr>
      </w:pPr>
      <w:r w:rsidRPr="007A6526">
        <w:rPr>
          <w:rFonts w:ascii="Arial Bold" w:eastAsia="Arial" w:hAnsi="Arial Bold" w:cs="Times New Roman"/>
          <w:b/>
          <w:noProof/>
          <w:color w:val="0934C1"/>
          <w:kern w:val="0"/>
          <w:lang w:val="en-NZ"/>
          <w14:ligatures w14:val="none"/>
        </w:rPr>
        <w:t>Option 2: Detailed template</w:t>
      </w:r>
    </w:p>
    <w:p w14:paraId="56B3A367" w14:textId="77777777" w:rsidR="007A6526" w:rsidRPr="007A6526" w:rsidRDefault="007A6526" w:rsidP="007A6526">
      <w:pPr>
        <w:spacing w:before="40" w:after="0" w:line="240" w:lineRule="auto"/>
        <w:rPr>
          <w:rFonts w:ascii="Arial" w:eastAsia="Arial" w:hAnsi="Arial" w:cs="Arial"/>
          <w:kern w:val="0"/>
          <w:sz w:val="18"/>
          <w:szCs w:val="18"/>
          <w:lang w:val="en-NZ"/>
          <w14:ligatures w14:val="none"/>
        </w:rPr>
      </w:pPr>
    </w:p>
    <w:p w14:paraId="449098AF" w14:textId="77777777" w:rsidR="007A6526" w:rsidRPr="00DE44BE" w:rsidRDefault="007A6526" w:rsidP="007A6526">
      <w:pPr>
        <w:spacing w:before="40" w:after="0" w:line="240" w:lineRule="auto"/>
        <w:rPr>
          <w:rFonts w:ascii="Arial" w:eastAsia="Arial" w:hAnsi="Arial" w:cs="Arial"/>
          <w:kern w:val="0"/>
          <w:sz w:val="22"/>
          <w:szCs w:val="22"/>
          <w:lang w:val="en-NZ"/>
          <w14:ligatures w14:val="none"/>
        </w:rPr>
      </w:pPr>
      <w:r w:rsidRPr="00DE44BE">
        <w:rPr>
          <w:rFonts w:ascii="Arial" w:eastAsia="Arial" w:hAnsi="Arial" w:cs="Arial"/>
          <w:kern w:val="0"/>
          <w:sz w:val="22"/>
          <w:szCs w:val="22"/>
          <w:lang w:val="en-NZ"/>
          <w14:ligatures w14:val="none"/>
        </w:rPr>
        <w:t>AFSL / CAR Address</w:t>
      </w:r>
    </w:p>
    <w:p w14:paraId="7A3E4B7C" w14:textId="77777777" w:rsidR="007A6526" w:rsidRPr="00DE44BE" w:rsidRDefault="007A6526" w:rsidP="007A6526">
      <w:pPr>
        <w:spacing w:before="40" w:after="0" w:line="240" w:lineRule="auto"/>
        <w:rPr>
          <w:rFonts w:ascii="Arial" w:eastAsia="Arial" w:hAnsi="Arial" w:cs="Arial"/>
          <w:kern w:val="0"/>
          <w:sz w:val="22"/>
          <w:szCs w:val="22"/>
          <w:lang w:val="en-NZ"/>
          <w14:ligatures w14:val="none"/>
        </w:rPr>
      </w:pPr>
      <w:r w:rsidRPr="00DE44BE">
        <w:rPr>
          <w:rFonts w:ascii="Arial" w:eastAsia="Arial" w:hAnsi="Arial" w:cs="Arial"/>
          <w:kern w:val="0"/>
          <w:sz w:val="22"/>
          <w:szCs w:val="22"/>
          <w:lang w:val="en-NZ"/>
          <w14:ligatures w14:val="none"/>
        </w:rPr>
        <w:t>ABN XX</w:t>
      </w:r>
    </w:p>
    <w:p w14:paraId="42E2D30D" w14:textId="77777777" w:rsidR="007A6526" w:rsidRPr="00DE44BE" w:rsidRDefault="007A6526" w:rsidP="007A6526">
      <w:pPr>
        <w:spacing w:before="40" w:after="0" w:line="240" w:lineRule="auto"/>
        <w:rPr>
          <w:rFonts w:ascii="Arial" w:eastAsia="Arial" w:hAnsi="Arial" w:cs="Arial"/>
          <w:kern w:val="0"/>
          <w:sz w:val="22"/>
          <w:szCs w:val="22"/>
          <w:lang w:val="en-NZ"/>
          <w14:ligatures w14:val="none"/>
        </w:rPr>
      </w:pPr>
    </w:p>
    <w:p w14:paraId="12C76F12" w14:textId="77777777" w:rsidR="007A6526" w:rsidRPr="00DE44BE" w:rsidRDefault="007A6526" w:rsidP="007A6526">
      <w:pPr>
        <w:spacing w:before="40" w:after="0" w:line="240" w:lineRule="auto"/>
        <w:rPr>
          <w:rFonts w:ascii="Arial" w:eastAsia="Arial" w:hAnsi="Arial" w:cs="Arial"/>
          <w:kern w:val="0"/>
          <w:sz w:val="22"/>
          <w:szCs w:val="22"/>
          <w:lang w:val="en-NZ"/>
          <w14:ligatures w14:val="none"/>
        </w:rPr>
      </w:pPr>
      <w:r w:rsidRPr="00DE44BE">
        <w:rPr>
          <w:rFonts w:ascii="Arial" w:eastAsia="Arial" w:hAnsi="Arial" w:cs="Arial"/>
          <w:kern w:val="0"/>
          <w:sz w:val="22"/>
          <w:szCs w:val="22"/>
          <w:lang w:val="en-NZ"/>
          <w14:ligatures w14:val="none"/>
        </w:rPr>
        <w:t>Authorised Rep of XX</w:t>
      </w:r>
    </w:p>
    <w:p w14:paraId="07FCB4BF" w14:textId="77777777" w:rsidR="007A6526" w:rsidRPr="00DE44BE" w:rsidRDefault="007A6526" w:rsidP="007A6526">
      <w:pPr>
        <w:spacing w:before="40" w:after="0" w:line="240" w:lineRule="auto"/>
        <w:rPr>
          <w:rFonts w:ascii="Arial" w:eastAsia="Arial" w:hAnsi="Arial" w:cs="Arial"/>
          <w:kern w:val="0"/>
          <w:sz w:val="22"/>
          <w:szCs w:val="22"/>
          <w:lang w:val="en-NZ"/>
          <w14:ligatures w14:val="none"/>
        </w:rPr>
      </w:pPr>
      <w:r w:rsidRPr="00DE44BE">
        <w:rPr>
          <w:rFonts w:ascii="Arial" w:eastAsia="Arial" w:hAnsi="Arial" w:cs="Arial"/>
          <w:kern w:val="0"/>
          <w:sz w:val="22"/>
          <w:szCs w:val="22"/>
          <w:lang w:val="en-NZ"/>
          <w14:ligatures w14:val="none"/>
        </w:rPr>
        <w:t>AFSL No. XX</w:t>
      </w:r>
    </w:p>
    <w:p w14:paraId="04AEC780" w14:textId="77777777" w:rsidR="007A6526" w:rsidRPr="00DE44BE" w:rsidRDefault="007A6526" w:rsidP="007A6526">
      <w:pPr>
        <w:spacing w:before="40" w:after="0" w:line="240" w:lineRule="auto"/>
        <w:rPr>
          <w:rFonts w:ascii="Arial" w:eastAsia="Arial" w:hAnsi="Arial" w:cs="Arial"/>
          <w:kern w:val="0"/>
          <w:sz w:val="22"/>
          <w:szCs w:val="22"/>
          <w:lang w:val="en-NZ"/>
          <w14:ligatures w14:val="none"/>
        </w:rPr>
      </w:pPr>
      <w:r w:rsidRPr="00DE44BE">
        <w:rPr>
          <w:rFonts w:ascii="Arial" w:eastAsia="Arial" w:hAnsi="Arial" w:cs="Arial"/>
          <w:kern w:val="0"/>
          <w:sz w:val="22"/>
          <w:szCs w:val="22"/>
          <w:lang w:val="en-NZ"/>
          <w14:ligatures w14:val="none"/>
        </w:rPr>
        <w:t>ABN XX</w:t>
      </w:r>
    </w:p>
    <w:p w14:paraId="60F61D1E" w14:textId="77777777" w:rsidR="007A6526" w:rsidRPr="00DE44BE" w:rsidRDefault="007A6526" w:rsidP="007A6526">
      <w:pPr>
        <w:spacing w:before="40" w:after="120" w:line="312" w:lineRule="auto"/>
        <w:rPr>
          <w:rFonts w:ascii="Arial" w:eastAsia="Times New Roman" w:hAnsi="Arial" w:cs="Arial"/>
          <w:b/>
          <w:bCs/>
          <w:color w:val="F15A29"/>
          <w:kern w:val="0"/>
          <w:sz w:val="22"/>
          <w:szCs w:val="22"/>
          <w:lang w:val="en-NZ" w:eastAsia="en-AU"/>
          <w14:ligatures w14:val="none"/>
        </w:rPr>
      </w:pPr>
    </w:p>
    <w:p w14:paraId="5CC802EE" w14:textId="77777777" w:rsidR="007A6526" w:rsidRPr="00DE44BE" w:rsidRDefault="007A6526" w:rsidP="007A6526">
      <w:pPr>
        <w:keepNext/>
        <w:keepLines/>
        <w:spacing w:before="240" w:line="259" w:lineRule="auto"/>
        <w:rPr>
          <w:rFonts w:ascii="Arial" w:eastAsia="Arial" w:hAnsi="Arial" w:cs="Arial"/>
          <w:b/>
          <w:bCs/>
          <w:color w:val="0934C1"/>
          <w:kern w:val="0"/>
          <w:sz w:val="22"/>
          <w:szCs w:val="22"/>
          <w14:ligatures w14:val="none"/>
        </w:rPr>
      </w:pPr>
      <w:r w:rsidRPr="00DE44BE">
        <w:rPr>
          <w:rFonts w:ascii="Arial" w:eastAsia="Arial" w:hAnsi="Arial" w:cs="Arial"/>
          <w:b/>
          <w:bCs/>
          <w:color w:val="0934C1"/>
          <w:kern w:val="0"/>
          <w:sz w:val="22"/>
          <w:szCs w:val="22"/>
          <w14:ligatures w14:val="none"/>
        </w:rPr>
        <w:t xml:space="preserve">Itemised Addendum to Invoice </w:t>
      </w:r>
      <w:r w:rsidRPr="00DE44BE">
        <w:rPr>
          <w:rFonts w:ascii="Arial" w:eastAsia="Arial" w:hAnsi="Arial" w:cs="Arial"/>
          <w:b/>
          <w:bCs/>
          <w:color w:val="0934C1"/>
          <w:kern w:val="0"/>
          <w:sz w:val="22"/>
          <w:szCs w:val="22"/>
          <w:highlight w:val="yellow"/>
          <w14:ligatures w14:val="none"/>
        </w:rPr>
        <w:t>[Invoice No]</w:t>
      </w:r>
    </w:p>
    <w:p w14:paraId="0025480B" w14:textId="77777777" w:rsidR="007A6526" w:rsidRPr="00DE44BE" w:rsidRDefault="007A6526" w:rsidP="007A6526">
      <w:pPr>
        <w:spacing w:before="40" w:after="120" w:line="312" w:lineRule="auto"/>
        <w:rPr>
          <w:rFonts w:ascii="Arial" w:eastAsia="Arial" w:hAnsi="Arial" w:cs="Arial"/>
          <w:bCs/>
          <w:kern w:val="0"/>
          <w:sz w:val="22"/>
          <w:szCs w:val="22"/>
          <w:lang w:val="en-NZ"/>
          <w14:ligatures w14:val="none"/>
        </w:rPr>
      </w:pPr>
      <w:r w:rsidRPr="00DE44BE">
        <w:rPr>
          <w:rFonts w:ascii="Arial" w:eastAsia="Arial" w:hAnsi="Arial" w:cs="Arial"/>
          <w:b/>
          <w:bCs/>
          <w:kern w:val="0"/>
          <w:sz w:val="22"/>
          <w:szCs w:val="22"/>
          <w:lang w:val="en-NZ"/>
          <w14:ligatures w14:val="none"/>
        </w:rPr>
        <w:t>Client names</w:t>
      </w:r>
    </w:p>
    <w:p w14:paraId="7E37585B" w14:textId="77777777" w:rsidR="006A50AF" w:rsidRDefault="006A50AF" w:rsidP="007A6526">
      <w:pPr>
        <w:spacing w:before="40" w:after="120" w:line="312" w:lineRule="auto"/>
        <w:rPr>
          <w:rFonts w:ascii="Arial" w:eastAsia="Arial" w:hAnsi="Arial" w:cs="Arial"/>
          <w:kern w:val="0"/>
          <w:sz w:val="22"/>
          <w:szCs w:val="22"/>
          <w:lang w:val="en-NZ"/>
          <w14:ligatures w14:val="none"/>
        </w:rPr>
      </w:pPr>
      <w:r w:rsidRPr="006A50AF">
        <w:rPr>
          <w:rFonts w:ascii="Arial" w:eastAsia="Arial" w:hAnsi="Arial" w:cs="Arial"/>
          <w:kern w:val="0"/>
          <w:sz w:val="22"/>
          <w:szCs w:val="22"/>
          <w:lang w:val="en-NZ"/>
          <w14:ligatures w14:val="none"/>
        </w:rPr>
        <w:t xml:space="preserve">This itemised addendum breaks down the initial financial planning advice fees for invoice number XXXX paid in the </w:t>
      </w:r>
      <w:r w:rsidRPr="009C329D">
        <w:rPr>
          <w:rFonts w:ascii="Arial" w:eastAsia="Arial" w:hAnsi="Arial" w:cs="Arial"/>
          <w:kern w:val="0"/>
          <w:sz w:val="22"/>
          <w:szCs w:val="22"/>
          <w:highlight w:val="yellow"/>
          <w:lang w:val="en-NZ"/>
          <w14:ligatures w14:val="none"/>
        </w:rPr>
        <w:t>2024/25</w:t>
      </w:r>
      <w:r w:rsidRPr="006A50AF">
        <w:rPr>
          <w:rFonts w:ascii="Arial" w:eastAsia="Arial" w:hAnsi="Arial" w:cs="Arial"/>
          <w:kern w:val="0"/>
          <w:sz w:val="22"/>
          <w:szCs w:val="22"/>
          <w:lang w:val="en-NZ"/>
          <w14:ligatures w14:val="none"/>
        </w:rPr>
        <w:t xml:space="preserve"> Financial Year for </w:t>
      </w:r>
      <w:r w:rsidRPr="009C329D">
        <w:rPr>
          <w:rFonts w:ascii="Arial" w:eastAsia="Arial" w:hAnsi="Arial" w:cs="Arial"/>
          <w:kern w:val="0"/>
          <w:sz w:val="22"/>
          <w:szCs w:val="22"/>
          <w:highlight w:val="yellow"/>
          <w:lang w:val="en-NZ"/>
          <w14:ligatures w14:val="none"/>
        </w:rPr>
        <w:t>Client1</w:t>
      </w:r>
      <w:r w:rsidRPr="006A50AF">
        <w:rPr>
          <w:rFonts w:ascii="Arial" w:eastAsia="Arial" w:hAnsi="Arial" w:cs="Arial"/>
          <w:kern w:val="0"/>
          <w:sz w:val="22"/>
          <w:szCs w:val="22"/>
          <w:lang w:val="en-NZ"/>
          <w14:ligatures w14:val="none"/>
        </w:rPr>
        <w:t xml:space="preserve"> and </w:t>
      </w:r>
      <w:r w:rsidRPr="009C329D">
        <w:rPr>
          <w:rFonts w:ascii="Arial" w:eastAsia="Arial" w:hAnsi="Arial" w:cs="Arial"/>
          <w:kern w:val="0"/>
          <w:sz w:val="22"/>
          <w:szCs w:val="22"/>
          <w:highlight w:val="yellow"/>
          <w:lang w:val="en-NZ"/>
          <w14:ligatures w14:val="none"/>
        </w:rPr>
        <w:t>Client2</w:t>
      </w:r>
      <w:r w:rsidRPr="006A50AF">
        <w:rPr>
          <w:rFonts w:ascii="Arial" w:eastAsia="Arial" w:hAnsi="Arial" w:cs="Arial"/>
          <w:kern w:val="0"/>
          <w:sz w:val="22"/>
          <w:szCs w:val="22"/>
          <w:lang w:val="en-NZ"/>
          <w14:ligatures w14:val="none"/>
        </w:rPr>
        <w:t xml:space="preserve"> for advice provided by </w:t>
      </w:r>
      <w:r w:rsidRPr="009B4D8F">
        <w:rPr>
          <w:rFonts w:ascii="Arial" w:eastAsia="Arial" w:hAnsi="Arial" w:cs="Arial"/>
          <w:kern w:val="0"/>
          <w:sz w:val="22"/>
          <w:szCs w:val="22"/>
          <w:highlight w:val="yellow"/>
          <w:lang w:val="en-NZ"/>
          <w14:ligatures w14:val="none"/>
        </w:rPr>
        <w:t>[Adviser Name]</w:t>
      </w:r>
      <w:r w:rsidRPr="006A50AF">
        <w:rPr>
          <w:rFonts w:ascii="Arial" w:eastAsia="Arial" w:hAnsi="Arial" w:cs="Arial"/>
          <w:kern w:val="0"/>
          <w:sz w:val="22"/>
          <w:szCs w:val="22"/>
          <w:lang w:val="en-NZ"/>
          <w14:ligatures w14:val="none"/>
        </w:rPr>
        <w:t xml:space="preserve"> ([</w:t>
      </w:r>
      <w:r w:rsidRPr="009B4D8F">
        <w:rPr>
          <w:rFonts w:ascii="Arial" w:eastAsia="Arial" w:hAnsi="Arial" w:cs="Arial"/>
          <w:kern w:val="0"/>
          <w:sz w:val="22"/>
          <w:szCs w:val="22"/>
          <w:highlight w:val="yellow"/>
          <w:lang w:val="en-NZ"/>
          <w14:ligatures w14:val="none"/>
        </w:rPr>
        <w:t>Company Name</w:t>
      </w:r>
      <w:r w:rsidRPr="006A50AF">
        <w:rPr>
          <w:rFonts w:ascii="Arial" w:eastAsia="Arial" w:hAnsi="Arial" w:cs="Arial"/>
          <w:kern w:val="0"/>
          <w:sz w:val="22"/>
          <w:szCs w:val="22"/>
          <w:lang w:val="en-NZ"/>
          <w14:ligatures w14:val="none"/>
        </w:rPr>
        <w:t>]), authorised representatives of [</w:t>
      </w:r>
      <w:r w:rsidRPr="009B4D8F">
        <w:rPr>
          <w:rFonts w:ascii="Arial" w:eastAsia="Arial" w:hAnsi="Arial" w:cs="Arial"/>
          <w:kern w:val="0"/>
          <w:sz w:val="22"/>
          <w:szCs w:val="22"/>
          <w:highlight w:val="yellow"/>
          <w:lang w:val="en-NZ"/>
          <w14:ligatures w14:val="none"/>
        </w:rPr>
        <w:t>Licensee Name</w:t>
      </w:r>
      <w:r w:rsidRPr="006A50AF">
        <w:rPr>
          <w:rFonts w:ascii="Arial" w:eastAsia="Arial" w:hAnsi="Arial" w:cs="Arial"/>
          <w:kern w:val="0"/>
          <w:sz w:val="22"/>
          <w:szCs w:val="22"/>
          <w:lang w:val="en-NZ"/>
          <w14:ligatures w14:val="none"/>
        </w:rPr>
        <w:t>], AFS Licence No [</w:t>
      </w:r>
      <w:r w:rsidRPr="009B4D8F">
        <w:rPr>
          <w:rFonts w:ascii="Arial" w:eastAsia="Arial" w:hAnsi="Arial" w:cs="Arial"/>
          <w:kern w:val="0"/>
          <w:sz w:val="22"/>
          <w:szCs w:val="22"/>
          <w:highlight w:val="yellow"/>
          <w:lang w:val="en-NZ"/>
          <w14:ligatures w14:val="none"/>
        </w:rPr>
        <w:t>Number</w:t>
      </w:r>
      <w:r w:rsidRPr="006A50AF">
        <w:rPr>
          <w:rFonts w:ascii="Arial" w:eastAsia="Arial" w:hAnsi="Arial" w:cs="Arial"/>
          <w:kern w:val="0"/>
          <w:sz w:val="22"/>
          <w:szCs w:val="22"/>
          <w:lang w:val="en-NZ"/>
          <w14:ligatures w14:val="none"/>
        </w:rPr>
        <w:t>].</w:t>
      </w:r>
    </w:p>
    <w:p w14:paraId="6E46161E" w14:textId="3077C7C3" w:rsidR="007A6526" w:rsidRPr="00DE44BE" w:rsidRDefault="007A6526" w:rsidP="007A6526">
      <w:pPr>
        <w:spacing w:before="40" w:after="120" w:line="312" w:lineRule="auto"/>
        <w:rPr>
          <w:rFonts w:ascii="Arial" w:eastAsia="Arial" w:hAnsi="Arial" w:cs="Arial"/>
          <w:kern w:val="0"/>
          <w:sz w:val="22"/>
          <w:szCs w:val="22"/>
          <w:lang w:val="en-NZ"/>
          <w14:ligatures w14:val="none"/>
        </w:rPr>
      </w:pPr>
      <w:r w:rsidRPr="00DE44BE">
        <w:rPr>
          <w:rFonts w:ascii="Arial" w:eastAsia="Arial" w:hAnsi="Arial" w:cs="Arial"/>
          <w:kern w:val="0"/>
          <w:sz w:val="22"/>
          <w:szCs w:val="22"/>
          <w:lang w:val="en-NZ"/>
          <w14:ligatures w14:val="none"/>
        </w:rPr>
        <w:t xml:space="preserve"> </w:t>
      </w:r>
    </w:p>
    <w:p w14:paraId="11CB63DA" w14:textId="77777777" w:rsidR="007A6526" w:rsidRPr="00DE44BE" w:rsidRDefault="007A6526" w:rsidP="007A6526">
      <w:pPr>
        <w:spacing w:before="40" w:after="120" w:line="312" w:lineRule="auto"/>
        <w:rPr>
          <w:rFonts w:ascii="Arial" w:eastAsia="Arial" w:hAnsi="Arial" w:cs="Arial"/>
          <w:b/>
          <w:bCs/>
          <w:kern w:val="0"/>
          <w:sz w:val="22"/>
          <w:szCs w:val="22"/>
          <w:lang w:val="en-NZ"/>
          <w14:ligatures w14:val="none"/>
        </w:rPr>
      </w:pPr>
      <w:r w:rsidRPr="00DE44BE">
        <w:rPr>
          <w:rFonts w:ascii="Arial" w:eastAsia="Arial" w:hAnsi="Arial" w:cs="Arial"/>
          <w:b/>
          <w:bCs/>
          <w:kern w:val="0"/>
          <w:sz w:val="22"/>
          <w:szCs w:val="22"/>
          <w:lang w:val="en-NZ"/>
          <w14:ligatures w14:val="none"/>
        </w:rPr>
        <w:t>Summary Of Fees</w:t>
      </w:r>
    </w:p>
    <w:tbl>
      <w:tblPr>
        <w:tblStyle w:val="CAANZDefaulttable4"/>
        <w:tblW w:w="5000" w:type="pct"/>
        <w:tblLook w:val="04A0" w:firstRow="1" w:lastRow="0" w:firstColumn="1" w:lastColumn="0" w:noHBand="0" w:noVBand="1"/>
      </w:tblPr>
      <w:tblGrid>
        <w:gridCol w:w="4943"/>
        <w:gridCol w:w="2793"/>
        <w:gridCol w:w="1788"/>
      </w:tblGrid>
      <w:tr w:rsidR="007A6526" w:rsidRPr="00DE44BE" w14:paraId="73E803FA" w14:textId="77777777" w:rsidTr="00A91E9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noWrap/>
            <w:hideMark/>
          </w:tcPr>
          <w:p w14:paraId="42C26BDA" w14:textId="77777777" w:rsidR="007A6526" w:rsidRPr="00DE44BE" w:rsidRDefault="007A6526" w:rsidP="007A6526">
            <w:pPr>
              <w:spacing w:after="120" w:line="240" w:lineRule="auto"/>
              <w:rPr>
                <w:rFonts w:ascii="Arial" w:eastAsia="Times New Roman" w:hAnsi="Arial" w:cs="Arial"/>
                <w:bCs/>
                <w:sz w:val="22"/>
                <w:szCs w:val="22"/>
                <w:lang w:eastAsia="en-AU"/>
              </w:rPr>
            </w:pPr>
            <w:r w:rsidRPr="00DE44BE">
              <w:rPr>
                <w:rFonts w:ascii="Arial" w:eastAsia="Times New Roman" w:hAnsi="Arial" w:cs="Arial"/>
                <w:bCs/>
                <w:sz w:val="22"/>
                <w:szCs w:val="22"/>
                <w:lang w:eastAsia="en-AU"/>
              </w:rPr>
              <w:t>Total initial advice fee paid</w:t>
            </w:r>
          </w:p>
        </w:tc>
        <w:tc>
          <w:tcPr>
            <w:tcW w:w="0" w:type="pct"/>
            <w:noWrap/>
            <w:hideMark/>
          </w:tcPr>
          <w:p w14:paraId="37B052E0" w14:textId="77777777" w:rsidR="007A6526" w:rsidRPr="00DE44BE" w:rsidRDefault="007A6526" w:rsidP="007A6526">
            <w:pPr>
              <w:spacing w:after="12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2"/>
                <w:szCs w:val="22"/>
                <w:lang w:eastAsia="en-AU"/>
              </w:rPr>
            </w:pPr>
            <w:r w:rsidRPr="00DE44BE">
              <w:rPr>
                <w:rFonts w:ascii="Arial" w:eastAsia="Times New Roman" w:hAnsi="Arial" w:cs="Arial"/>
                <w:bCs/>
                <w:sz w:val="22"/>
                <w:szCs w:val="22"/>
                <w:lang w:eastAsia="en-AU"/>
              </w:rPr>
              <w:t> </w:t>
            </w:r>
          </w:p>
        </w:tc>
        <w:tc>
          <w:tcPr>
            <w:tcW w:w="0" w:type="pct"/>
            <w:noWrap/>
            <w:hideMark/>
          </w:tcPr>
          <w:p w14:paraId="02683C90" w14:textId="77777777" w:rsidR="007A6526" w:rsidRPr="00DE44BE" w:rsidRDefault="007A6526" w:rsidP="007A6526">
            <w:pPr>
              <w:spacing w:after="12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2"/>
                <w:szCs w:val="22"/>
                <w:lang w:eastAsia="en-AU"/>
              </w:rPr>
            </w:pPr>
            <w:r w:rsidRPr="00DE44BE">
              <w:rPr>
                <w:rFonts w:ascii="Arial" w:eastAsia="Arial" w:hAnsi="Arial" w:cs="Arial"/>
                <w:bCs/>
                <w:sz w:val="22"/>
                <w:szCs w:val="22"/>
              </w:rPr>
              <w:t>$8,800</w:t>
            </w:r>
          </w:p>
        </w:tc>
      </w:tr>
      <w:tr w:rsidR="007A6526" w:rsidRPr="00DE44BE" w14:paraId="36E23630" w14:textId="77777777" w:rsidTr="00A91E96">
        <w:trPr>
          <w:trHeight w:val="340"/>
        </w:trPr>
        <w:tc>
          <w:tcPr>
            <w:cnfStyle w:val="001000000000" w:firstRow="0" w:lastRow="0" w:firstColumn="1" w:lastColumn="0" w:oddVBand="0" w:evenVBand="0" w:oddHBand="0" w:evenHBand="0" w:firstRowFirstColumn="0" w:firstRowLastColumn="0" w:lastRowFirstColumn="0" w:lastRowLastColumn="0"/>
            <w:tcW w:w="0" w:type="pct"/>
            <w:noWrap/>
            <w:hideMark/>
          </w:tcPr>
          <w:p w14:paraId="26ED7959" w14:textId="77777777" w:rsidR="007A6526" w:rsidRPr="00DE44BE" w:rsidRDefault="007A6526" w:rsidP="007A6526">
            <w:pPr>
              <w:spacing w:after="120" w:line="240" w:lineRule="auto"/>
              <w:rPr>
                <w:rFonts w:eastAsia="Times New Roman" w:cs="Arial"/>
                <w:sz w:val="22"/>
                <w:szCs w:val="22"/>
                <w:lang w:eastAsia="en-AU"/>
              </w:rPr>
            </w:pPr>
            <w:r w:rsidRPr="00DE44BE">
              <w:rPr>
                <w:rFonts w:eastAsia="Times New Roman" w:cs="Arial"/>
                <w:sz w:val="22"/>
                <w:szCs w:val="22"/>
                <w:lang w:eastAsia="en-AU"/>
              </w:rPr>
              <w:t>Advice fees not related to tax affairs</w:t>
            </w:r>
          </w:p>
        </w:tc>
        <w:tc>
          <w:tcPr>
            <w:tcW w:w="0" w:type="pct"/>
            <w:noWrap/>
            <w:hideMark/>
          </w:tcPr>
          <w:p w14:paraId="7F55088B" w14:textId="77777777" w:rsidR="007A6526" w:rsidRPr="00DE44BE" w:rsidRDefault="007A6526" w:rsidP="007A6526">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w:t>
            </w:r>
          </w:p>
        </w:tc>
        <w:tc>
          <w:tcPr>
            <w:tcW w:w="0" w:type="pct"/>
            <w:noWrap/>
            <w:hideMark/>
          </w:tcPr>
          <w:p w14:paraId="7C35CC0E" w14:textId="77777777" w:rsidR="007A6526" w:rsidRPr="00DE44BE" w:rsidRDefault="007A6526" w:rsidP="007A6526">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Arial" w:cs="Arial"/>
                <w:sz w:val="22"/>
                <w:szCs w:val="22"/>
              </w:rPr>
              <w:t>$2,860</w:t>
            </w:r>
          </w:p>
        </w:tc>
      </w:tr>
      <w:tr w:rsidR="007A6526" w:rsidRPr="00DE44BE" w14:paraId="0388FEBF" w14:textId="77777777" w:rsidTr="00A91E96">
        <w:trPr>
          <w:trHeight w:val="340"/>
        </w:trPr>
        <w:tc>
          <w:tcPr>
            <w:cnfStyle w:val="001000000000" w:firstRow="0" w:lastRow="0" w:firstColumn="1" w:lastColumn="0" w:oddVBand="0" w:evenVBand="0" w:oddHBand="0" w:evenHBand="0" w:firstRowFirstColumn="0" w:firstRowLastColumn="0" w:lastRowFirstColumn="0" w:lastRowLastColumn="0"/>
            <w:tcW w:w="0" w:type="pct"/>
            <w:noWrap/>
            <w:hideMark/>
          </w:tcPr>
          <w:p w14:paraId="1F45A814" w14:textId="77777777" w:rsidR="007A6526" w:rsidRPr="00DE44BE" w:rsidRDefault="007A6526" w:rsidP="007A6526">
            <w:pPr>
              <w:spacing w:after="120" w:line="240" w:lineRule="auto"/>
              <w:rPr>
                <w:rFonts w:eastAsia="Times New Roman" w:cs="Arial"/>
                <w:sz w:val="22"/>
                <w:szCs w:val="22"/>
                <w:lang w:eastAsia="en-AU"/>
              </w:rPr>
            </w:pPr>
            <w:r w:rsidRPr="00DE44BE">
              <w:rPr>
                <w:rFonts w:eastAsia="Times New Roman" w:cs="Arial"/>
                <w:sz w:val="22"/>
                <w:szCs w:val="22"/>
                <w:lang w:eastAsia="en-AU"/>
              </w:rPr>
              <w:t>Advice fees paid via superannuation</w:t>
            </w:r>
          </w:p>
        </w:tc>
        <w:tc>
          <w:tcPr>
            <w:tcW w:w="0" w:type="pct"/>
            <w:noWrap/>
            <w:hideMark/>
          </w:tcPr>
          <w:p w14:paraId="4E4DDC89" w14:textId="77777777" w:rsidR="007A6526" w:rsidRPr="00DE44BE" w:rsidRDefault="007A6526" w:rsidP="007A6526">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w:t>
            </w:r>
          </w:p>
        </w:tc>
        <w:tc>
          <w:tcPr>
            <w:tcW w:w="0" w:type="pct"/>
            <w:noWrap/>
            <w:hideMark/>
          </w:tcPr>
          <w:p w14:paraId="1C12425F" w14:textId="3F3EB2FE" w:rsidR="007A6526" w:rsidRPr="00DE44BE" w:rsidRDefault="00D93DA3" w:rsidP="007A6526">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Pr>
                <w:rFonts w:eastAsia="Times New Roman" w:cs="Arial"/>
                <w:sz w:val="22"/>
                <w:szCs w:val="22"/>
                <w:lang w:eastAsia="en-AU"/>
              </w:rPr>
              <w:t>Nil</w:t>
            </w:r>
          </w:p>
        </w:tc>
      </w:tr>
      <w:tr w:rsidR="007A6526" w:rsidRPr="00DE44BE" w14:paraId="3B692A76" w14:textId="77777777" w:rsidTr="00A91E96">
        <w:trPr>
          <w:trHeight w:val="340"/>
        </w:trPr>
        <w:tc>
          <w:tcPr>
            <w:cnfStyle w:val="001000000000" w:firstRow="0" w:lastRow="0" w:firstColumn="1" w:lastColumn="0" w:oddVBand="0" w:evenVBand="0" w:oddHBand="0" w:evenHBand="0" w:firstRowFirstColumn="0" w:firstRowLastColumn="0" w:lastRowFirstColumn="0" w:lastRowLastColumn="0"/>
            <w:tcW w:w="0" w:type="pct"/>
            <w:noWrap/>
            <w:hideMark/>
          </w:tcPr>
          <w:p w14:paraId="39A19CC2" w14:textId="77777777" w:rsidR="007A6526" w:rsidRPr="00DE44BE" w:rsidRDefault="007A6526" w:rsidP="007A6526">
            <w:pPr>
              <w:spacing w:after="120" w:line="240" w:lineRule="auto"/>
              <w:rPr>
                <w:rFonts w:eastAsia="Times New Roman" w:cs="Arial"/>
                <w:bCs/>
                <w:sz w:val="22"/>
                <w:szCs w:val="22"/>
                <w:lang w:eastAsia="en-AU"/>
              </w:rPr>
            </w:pPr>
            <w:r w:rsidRPr="00DE44BE">
              <w:rPr>
                <w:rFonts w:eastAsia="Times New Roman" w:cs="Arial"/>
                <w:bCs/>
                <w:sz w:val="22"/>
                <w:szCs w:val="22"/>
                <w:lang w:eastAsia="en-AU"/>
              </w:rPr>
              <w:t>Advice fee related to tax affairs</w:t>
            </w:r>
          </w:p>
        </w:tc>
        <w:tc>
          <w:tcPr>
            <w:tcW w:w="0" w:type="pct"/>
            <w:noWrap/>
            <w:hideMark/>
          </w:tcPr>
          <w:p w14:paraId="0807A13C" w14:textId="77777777" w:rsidR="007A6526" w:rsidRPr="00DE44BE" w:rsidRDefault="007A6526" w:rsidP="007A6526">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22"/>
                <w:szCs w:val="22"/>
                <w:lang w:eastAsia="en-AU"/>
              </w:rPr>
            </w:pPr>
            <w:r w:rsidRPr="00DE44BE">
              <w:rPr>
                <w:rFonts w:eastAsia="Times New Roman" w:cs="Arial"/>
                <w:b/>
                <w:bCs/>
                <w:sz w:val="22"/>
                <w:szCs w:val="22"/>
                <w:lang w:eastAsia="en-AU"/>
              </w:rPr>
              <w:t> </w:t>
            </w:r>
          </w:p>
        </w:tc>
        <w:tc>
          <w:tcPr>
            <w:tcW w:w="0" w:type="pct"/>
            <w:noWrap/>
            <w:hideMark/>
          </w:tcPr>
          <w:p w14:paraId="27C13DB6" w14:textId="77777777" w:rsidR="007A6526" w:rsidRPr="00DE44BE" w:rsidRDefault="007A6526" w:rsidP="007A6526">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22"/>
                <w:szCs w:val="22"/>
                <w:lang w:eastAsia="en-AU"/>
              </w:rPr>
            </w:pPr>
            <w:r w:rsidRPr="00DE44BE">
              <w:rPr>
                <w:rFonts w:eastAsia="Arial" w:cs="Arial"/>
                <w:b/>
                <w:bCs/>
                <w:sz w:val="22"/>
                <w:szCs w:val="22"/>
              </w:rPr>
              <w:t>$5,940</w:t>
            </w:r>
          </w:p>
        </w:tc>
      </w:tr>
      <w:tr w:rsidR="007A6526" w:rsidRPr="00DE44BE" w14:paraId="050D0A8A" w14:textId="77777777" w:rsidTr="00A91E96">
        <w:trPr>
          <w:trHeight w:val="340"/>
        </w:trPr>
        <w:tc>
          <w:tcPr>
            <w:cnfStyle w:val="001000000000" w:firstRow="0" w:lastRow="0" w:firstColumn="1" w:lastColumn="0" w:oddVBand="0" w:evenVBand="0" w:oddHBand="0" w:evenHBand="0" w:firstRowFirstColumn="0" w:firstRowLastColumn="0" w:lastRowFirstColumn="0" w:lastRowLastColumn="0"/>
            <w:tcW w:w="0" w:type="pct"/>
            <w:noWrap/>
            <w:hideMark/>
          </w:tcPr>
          <w:p w14:paraId="4C8EC550" w14:textId="77777777" w:rsidR="007A6526" w:rsidRPr="00DE44BE" w:rsidRDefault="007A6526" w:rsidP="007A6526">
            <w:pPr>
              <w:spacing w:after="120" w:line="240" w:lineRule="auto"/>
              <w:ind w:firstLineChars="200" w:firstLine="442"/>
              <w:rPr>
                <w:rFonts w:eastAsia="Times New Roman" w:cs="Arial"/>
                <w:sz w:val="22"/>
                <w:szCs w:val="22"/>
                <w:lang w:eastAsia="en-AU"/>
              </w:rPr>
            </w:pPr>
            <w:r w:rsidRPr="00DE44BE">
              <w:rPr>
                <w:rFonts w:eastAsia="Times New Roman" w:cs="Arial"/>
                <w:sz w:val="22"/>
                <w:szCs w:val="22"/>
                <w:lang w:eastAsia="en-AU"/>
              </w:rPr>
              <w:t>Estimated deductible portion for</w:t>
            </w:r>
          </w:p>
        </w:tc>
        <w:tc>
          <w:tcPr>
            <w:tcW w:w="0" w:type="pct"/>
            <w:noWrap/>
            <w:hideMark/>
          </w:tcPr>
          <w:p w14:paraId="7AE8C481" w14:textId="23C60BF6" w:rsidR="00637F61" w:rsidRDefault="00637F61" w:rsidP="00096899">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16"/>
                <w:highlight w:val="yellow"/>
                <w:lang w:eastAsia="en-AU"/>
              </w:rPr>
            </w:pPr>
            <w:r w:rsidRPr="00712E97">
              <w:rPr>
                <w:rFonts w:asciiTheme="minorHAnsi" w:eastAsia="Times New Roman" w:hAnsiTheme="minorHAnsi" w:cstheme="minorHAnsi"/>
                <w:szCs w:val="16"/>
                <w:highlight w:val="yellow"/>
                <w:lang w:eastAsia="en-AU"/>
              </w:rPr>
              <w:t>Client</w:t>
            </w:r>
            <w:r>
              <w:rPr>
                <w:rFonts w:asciiTheme="minorHAnsi" w:eastAsia="Times New Roman" w:hAnsiTheme="minorHAnsi" w:cstheme="minorHAnsi"/>
                <w:szCs w:val="16"/>
                <w:highlight w:val="yellow"/>
                <w:lang w:eastAsia="en-AU"/>
              </w:rPr>
              <w:t xml:space="preserve">1 </w:t>
            </w:r>
            <w:r>
              <w:rPr>
                <w:rFonts w:asciiTheme="minorHAnsi" w:eastAsia="Times New Roman" w:hAnsiTheme="minorHAnsi" w:cstheme="minorHAnsi"/>
                <w:szCs w:val="16"/>
                <w:highlight w:val="yellow"/>
                <w:lang w:eastAsia="en-AU"/>
              </w:rPr>
              <w:tab/>
              <w:t>s 25-5 ($2,720)</w:t>
            </w:r>
          </w:p>
          <w:p w14:paraId="1C345CBD" w14:textId="23264BF9" w:rsidR="007A6526" w:rsidRPr="00637F61" w:rsidRDefault="00637F61" w:rsidP="00637F6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16"/>
                <w:highlight w:val="yellow"/>
                <w:lang w:eastAsia="en-AU"/>
              </w:rPr>
            </w:pPr>
            <w:r>
              <w:rPr>
                <w:rFonts w:asciiTheme="minorHAnsi" w:eastAsia="Times New Roman" w:hAnsiTheme="minorHAnsi" w:cstheme="minorHAnsi"/>
                <w:szCs w:val="16"/>
                <w:highlight w:val="yellow"/>
                <w:lang w:eastAsia="en-AU"/>
              </w:rPr>
              <w:tab/>
              <w:t>s 8-1 ($140)</w:t>
            </w:r>
          </w:p>
        </w:tc>
        <w:tc>
          <w:tcPr>
            <w:tcW w:w="0" w:type="pct"/>
            <w:noWrap/>
            <w:hideMark/>
          </w:tcPr>
          <w:p w14:paraId="1FD68DDD" w14:textId="4A11B082" w:rsidR="007A6526" w:rsidRPr="00DE44BE" w:rsidRDefault="007A6526" w:rsidP="007A6526">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Arial" w:cs="Arial"/>
                <w:sz w:val="22"/>
                <w:szCs w:val="22"/>
              </w:rPr>
              <w:t>$</w:t>
            </w:r>
            <w:r w:rsidR="0010694E">
              <w:rPr>
                <w:rFonts w:eastAsia="Arial" w:cs="Arial"/>
                <w:sz w:val="22"/>
                <w:szCs w:val="22"/>
              </w:rPr>
              <w:t>2,860</w:t>
            </w:r>
          </w:p>
        </w:tc>
      </w:tr>
      <w:tr w:rsidR="007A6526" w:rsidRPr="00DE44BE" w14:paraId="6D4C06DD" w14:textId="77777777" w:rsidTr="00A91E96">
        <w:trPr>
          <w:trHeight w:val="340"/>
        </w:trPr>
        <w:tc>
          <w:tcPr>
            <w:cnfStyle w:val="001000000000" w:firstRow="0" w:lastRow="0" w:firstColumn="1" w:lastColumn="0" w:oddVBand="0" w:evenVBand="0" w:oddHBand="0" w:evenHBand="0" w:firstRowFirstColumn="0" w:firstRowLastColumn="0" w:lastRowFirstColumn="0" w:lastRowLastColumn="0"/>
            <w:tcW w:w="0" w:type="pct"/>
            <w:noWrap/>
            <w:hideMark/>
          </w:tcPr>
          <w:p w14:paraId="605A0CE6" w14:textId="77777777" w:rsidR="007A6526" w:rsidRPr="00DE44BE" w:rsidRDefault="007A6526" w:rsidP="007A6526">
            <w:pPr>
              <w:spacing w:after="120" w:line="240" w:lineRule="auto"/>
              <w:ind w:firstLineChars="200" w:firstLine="442"/>
              <w:rPr>
                <w:rFonts w:eastAsia="Times New Roman" w:cs="Arial"/>
                <w:sz w:val="22"/>
                <w:szCs w:val="22"/>
                <w:lang w:eastAsia="en-AU"/>
              </w:rPr>
            </w:pPr>
            <w:r w:rsidRPr="00DE44BE">
              <w:rPr>
                <w:rFonts w:eastAsia="Times New Roman" w:cs="Arial"/>
                <w:sz w:val="22"/>
                <w:szCs w:val="22"/>
                <w:lang w:eastAsia="en-AU"/>
              </w:rPr>
              <w:t>Estimated deductible portion for</w:t>
            </w:r>
          </w:p>
        </w:tc>
        <w:tc>
          <w:tcPr>
            <w:tcW w:w="0" w:type="pct"/>
            <w:noWrap/>
            <w:hideMark/>
          </w:tcPr>
          <w:p w14:paraId="02E1037D" w14:textId="5E172A7F" w:rsidR="00176920" w:rsidRDefault="00176920" w:rsidP="00096899">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16"/>
                <w:highlight w:val="yellow"/>
                <w:lang w:eastAsia="en-AU"/>
              </w:rPr>
            </w:pPr>
            <w:r>
              <w:rPr>
                <w:rFonts w:asciiTheme="minorHAnsi" w:eastAsia="Times New Roman" w:hAnsiTheme="minorHAnsi" w:cstheme="minorHAnsi"/>
                <w:szCs w:val="16"/>
                <w:highlight w:val="yellow"/>
                <w:lang w:eastAsia="en-AU"/>
              </w:rPr>
              <w:t xml:space="preserve">Client2 </w:t>
            </w:r>
            <w:r>
              <w:rPr>
                <w:rFonts w:asciiTheme="minorHAnsi" w:eastAsia="Times New Roman" w:hAnsiTheme="minorHAnsi" w:cstheme="minorHAnsi"/>
                <w:szCs w:val="16"/>
                <w:highlight w:val="yellow"/>
                <w:lang w:eastAsia="en-AU"/>
              </w:rPr>
              <w:tab/>
              <w:t>s 25-5 ($2,720)</w:t>
            </w:r>
          </w:p>
          <w:p w14:paraId="79ADB94E" w14:textId="0E244E94" w:rsidR="007A6526" w:rsidRPr="00DE44BE" w:rsidRDefault="00176920" w:rsidP="00DA4148">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highlight w:val="yellow"/>
                <w:lang w:eastAsia="en-AU"/>
              </w:rPr>
            </w:pPr>
            <w:r>
              <w:rPr>
                <w:rFonts w:asciiTheme="minorHAnsi" w:eastAsia="Times New Roman" w:hAnsiTheme="minorHAnsi" w:cstheme="minorHAnsi"/>
                <w:szCs w:val="16"/>
                <w:highlight w:val="yellow"/>
                <w:lang w:eastAsia="en-AU"/>
              </w:rPr>
              <w:tab/>
              <w:t>s 8-1 ($360)</w:t>
            </w:r>
          </w:p>
        </w:tc>
        <w:tc>
          <w:tcPr>
            <w:tcW w:w="0" w:type="pct"/>
            <w:noWrap/>
            <w:hideMark/>
          </w:tcPr>
          <w:p w14:paraId="18AAD8CE" w14:textId="065A1CDB" w:rsidR="007A6526" w:rsidRPr="00DE44BE" w:rsidRDefault="007A6526" w:rsidP="007A6526">
            <w:p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Arial" w:cs="Arial"/>
                <w:sz w:val="22"/>
                <w:szCs w:val="22"/>
              </w:rPr>
              <w:t>$</w:t>
            </w:r>
            <w:r w:rsidR="0010694E">
              <w:rPr>
                <w:rFonts w:eastAsia="Arial" w:cs="Arial"/>
                <w:sz w:val="22"/>
                <w:szCs w:val="22"/>
              </w:rPr>
              <w:t>3,080</w:t>
            </w:r>
          </w:p>
        </w:tc>
      </w:tr>
    </w:tbl>
    <w:p w14:paraId="18B036B0" w14:textId="77777777" w:rsidR="007A6526" w:rsidRPr="00DE44BE" w:rsidRDefault="007A6526" w:rsidP="007A6526">
      <w:pPr>
        <w:spacing w:before="40" w:after="120" w:line="312" w:lineRule="auto"/>
        <w:rPr>
          <w:rFonts w:ascii="Arial" w:eastAsia="Arial" w:hAnsi="Arial" w:cs="Arial"/>
          <w:kern w:val="0"/>
          <w:sz w:val="22"/>
          <w:szCs w:val="22"/>
          <w:lang w:val="en-NZ"/>
          <w14:ligatures w14:val="none"/>
        </w:rPr>
      </w:pPr>
      <w:r w:rsidRPr="00DE44BE">
        <w:rPr>
          <w:rFonts w:ascii="Arial" w:eastAsia="Arial" w:hAnsi="Arial" w:cs="Arial"/>
          <w:kern w:val="0"/>
          <w:sz w:val="22"/>
          <w:szCs w:val="22"/>
          <w:lang w:val="en-NZ"/>
          <w14:ligatures w14:val="none"/>
        </w:rPr>
        <w:t xml:space="preserve">The figures above </w:t>
      </w:r>
      <w:r w:rsidRPr="00DE44BE">
        <w:rPr>
          <w:rFonts w:ascii="Arial" w:eastAsia="Arial" w:hAnsi="Arial" w:cs="Arial"/>
          <w:kern w:val="0"/>
          <w:sz w:val="22"/>
          <w:szCs w:val="22"/>
          <w:highlight w:val="yellow"/>
          <w:lang w:val="en-NZ"/>
          <w14:ligatures w14:val="none"/>
        </w:rPr>
        <w:t>include GST</w:t>
      </w:r>
    </w:p>
    <w:p w14:paraId="3B2EAEB7" w14:textId="77777777" w:rsidR="007A6526" w:rsidRPr="00DE44BE" w:rsidRDefault="007A6526" w:rsidP="007A6526">
      <w:pPr>
        <w:spacing w:before="40" w:after="120" w:line="312" w:lineRule="auto"/>
        <w:rPr>
          <w:rFonts w:ascii="Arial" w:eastAsia="Arial" w:hAnsi="Arial" w:cs="Arial"/>
          <w:b/>
          <w:bCs/>
          <w:kern w:val="0"/>
          <w:sz w:val="22"/>
          <w:szCs w:val="22"/>
          <w:lang w:val="en-NZ"/>
          <w14:ligatures w14:val="none"/>
        </w:rPr>
      </w:pPr>
    </w:p>
    <w:p w14:paraId="08F185D7" w14:textId="77777777" w:rsidR="007A6526" w:rsidRPr="00DE44BE" w:rsidRDefault="007A6526" w:rsidP="007A6526">
      <w:pPr>
        <w:spacing w:before="40" w:after="120" w:line="312" w:lineRule="auto"/>
        <w:rPr>
          <w:rFonts w:ascii="Arial" w:eastAsia="Arial" w:hAnsi="Arial" w:cs="Arial"/>
          <w:b/>
          <w:bCs/>
          <w:kern w:val="0"/>
          <w:sz w:val="22"/>
          <w:szCs w:val="22"/>
          <w:lang w:val="en-NZ"/>
          <w14:ligatures w14:val="none"/>
        </w:rPr>
      </w:pPr>
      <w:r w:rsidRPr="00DE44BE">
        <w:rPr>
          <w:rFonts w:ascii="Arial" w:eastAsia="Arial" w:hAnsi="Arial" w:cs="Arial"/>
          <w:b/>
          <w:bCs/>
          <w:kern w:val="0"/>
          <w:sz w:val="22"/>
          <w:szCs w:val="22"/>
          <w:lang w:val="en-NZ"/>
          <w14:ligatures w14:val="none"/>
        </w:rPr>
        <w:t>Breakdown and Summary of Advice</w:t>
      </w:r>
    </w:p>
    <w:tbl>
      <w:tblPr>
        <w:tblStyle w:val="CAANZDefaulttable4"/>
        <w:tblW w:w="5068" w:type="pct"/>
        <w:tblLayout w:type="fixed"/>
        <w:tblLook w:val="04A0" w:firstRow="1" w:lastRow="0" w:firstColumn="1" w:lastColumn="0" w:noHBand="0" w:noVBand="1"/>
      </w:tblPr>
      <w:tblGrid>
        <w:gridCol w:w="1557"/>
        <w:gridCol w:w="4098"/>
        <w:gridCol w:w="1290"/>
        <w:gridCol w:w="1419"/>
        <w:gridCol w:w="1290"/>
      </w:tblGrid>
      <w:tr w:rsidR="00F263A1" w:rsidRPr="00DE44BE" w14:paraId="3E501FDF" w14:textId="77777777" w:rsidTr="00BB64C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06" w:type="pct"/>
            <w:noWrap/>
            <w:hideMark/>
          </w:tcPr>
          <w:p w14:paraId="34A8370A" w14:textId="77777777" w:rsidR="007A6526" w:rsidRPr="00DE44BE" w:rsidRDefault="007A6526" w:rsidP="007A6526">
            <w:pPr>
              <w:spacing w:before="40" w:after="120" w:line="240" w:lineRule="auto"/>
              <w:rPr>
                <w:rFonts w:ascii="Arial" w:eastAsia="Times New Roman" w:hAnsi="Arial" w:cs="Arial"/>
                <w:bCs/>
                <w:sz w:val="22"/>
                <w:szCs w:val="22"/>
                <w:lang w:eastAsia="en-AU"/>
              </w:rPr>
            </w:pPr>
            <w:r w:rsidRPr="00DE44BE">
              <w:rPr>
                <w:rFonts w:ascii="Arial" w:eastAsia="Times New Roman" w:hAnsi="Arial" w:cs="Arial"/>
                <w:bCs/>
                <w:sz w:val="22"/>
                <w:szCs w:val="22"/>
                <w:lang w:eastAsia="en-AU"/>
              </w:rPr>
              <w:t>Strategy categories</w:t>
            </w:r>
          </w:p>
        </w:tc>
        <w:tc>
          <w:tcPr>
            <w:tcW w:w="2122" w:type="pct"/>
            <w:noWrap/>
            <w:hideMark/>
          </w:tcPr>
          <w:p w14:paraId="34543B5F" w14:textId="77777777" w:rsidR="007A6526" w:rsidRPr="00DE44BE" w:rsidRDefault="007A6526" w:rsidP="007A6526">
            <w:pPr>
              <w:spacing w:before="40" w:after="12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2"/>
                <w:szCs w:val="22"/>
                <w:lang w:eastAsia="en-AU"/>
              </w:rPr>
            </w:pPr>
            <w:r w:rsidRPr="00DE44BE">
              <w:rPr>
                <w:rFonts w:ascii="Arial" w:eastAsia="Times New Roman" w:hAnsi="Arial" w:cs="Arial"/>
                <w:bCs/>
                <w:sz w:val="22"/>
                <w:szCs w:val="22"/>
                <w:lang w:eastAsia="en-AU"/>
              </w:rPr>
              <w:t xml:space="preserve">Summary of why advice was </w:t>
            </w:r>
            <w:proofErr w:type="gramStart"/>
            <w:r w:rsidRPr="00DE44BE">
              <w:rPr>
                <w:rFonts w:ascii="Arial" w:eastAsia="Times New Roman" w:hAnsi="Arial" w:cs="Arial"/>
                <w:bCs/>
                <w:sz w:val="22"/>
                <w:szCs w:val="22"/>
                <w:lang w:eastAsia="en-AU"/>
              </w:rPr>
              <w:t>related</w:t>
            </w:r>
            <w:r w:rsidRPr="00DE44BE" w:rsidDel="006E549F">
              <w:rPr>
                <w:rFonts w:ascii="Arial" w:eastAsia="Times New Roman" w:hAnsi="Arial" w:cs="Arial"/>
                <w:bCs/>
                <w:sz w:val="22"/>
                <w:szCs w:val="22"/>
                <w:lang w:eastAsia="en-AU"/>
              </w:rPr>
              <w:t xml:space="preserve"> </w:t>
            </w:r>
            <w:r w:rsidRPr="00DE44BE">
              <w:rPr>
                <w:rFonts w:ascii="Arial" w:eastAsia="Times New Roman" w:hAnsi="Arial" w:cs="Arial"/>
                <w:bCs/>
                <w:sz w:val="22"/>
                <w:szCs w:val="22"/>
                <w:lang w:eastAsia="en-AU"/>
              </w:rPr>
              <w:t xml:space="preserve"> to</w:t>
            </w:r>
            <w:proofErr w:type="gramEnd"/>
            <w:r w:rsidRPr="00DE44BE">
              <w:rPr>
                <w:rFonts w:ascii="Arial" w:eastAsia="Times New Roman" w:hAnsi="Arial" w:cs="Arial"/>
                <w:bCs/>
                <w:sz w:val="22"/>
                <w:szCs w:val="22"/>
                <w:lang w:eastAsia="en-AU"/>
              </w:rPr>
              <w:t xml:space="preserve"> tax affairs </w:t>
            </w:r>
          </w:p>
        </w:tc>
        <w:tc>
          <w:tcPr>
            <w:tcW w:w="668" w:type="pct"/>
            <w:noWrap/>
            <w:hideMark/>
          </w:tcPr>
          <w:p w14:paraId="1E7682F5" w14:textId="77777777" w:rsidR="007A6526" w:rsidRPr="00DE44BE" w:rsidRDefault="007A6526" w:rsidP="007A6526">
            <w:pPr>
              <w:spacing w:before="40" w:after="12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2"/>
                <w:szCs w:val="22"/>
                <w:lang w:eastAsia="en-AU"/>
              </w:rPr>
            </w:pPr>
            <w:r w:rsidRPr="00DE44BE">
              <w:rPr>
                <w:rFonts w:ascii="Arial" w:eastAsia="Times New Roman" w:hAnsi="Arial" w:cs="Arial"/>
                <w:sz w:val="22"/>
                <w:szCs w:val="22"/>
                <w:lang w:eastAsia="en-AU"/>
              </w:rPr>
              <w:t>Weighting of strategy to advice</w:t>
            </w:r>
            <w:r w:rsidRPr="00DE44BE">
              <w:rPr>
                <w:rFonts w:ascii="Arial" w:eastAsia="Times New Roman" w:hAnsi="Arial" w:cs="Arial"/>
                <w:bCs/>
                <w:sz w:val="22"/>
                <w:szCs w:val="22"/>
                <w:lang w:eastAsia="en-AU"/>
              </w:rPr>
              <w:t xml:space="preserve"> </w:t>
            </w:r>
            <w:r w:rsidRPr="00DE44BE">
              <w:rPr>
                <w:rFonts w:ascii="Arial" w:eastAsia="Times New Roman" w:hAnsi="Arial" w:cs="Arial"/>
                <w:bCs/>
                <w:sz w:val="22"/>
                <w:szCs w:val="22"/>
                <w:lang w:eastAsia="en-AU"/>
              </w:rPr>
              <w:br/>
              <w:t>(0-100%)</w:t>
            </w:r>
          </w:p>
        </w:tc>
        <w:tc>
          <w:tcPr>
            <w:tcW w:w="735" w:type="pct"/>
          </w:tcPr>
          <w:p w14:paraId="438AA381" w14:textId="77777777" w:rsidR="007A6526" w:rsidRPr="00DE44BE" w:rsidRDefault="007A6526" w:rsidP="007A6526">
            <w:pPr>
              <w:spacing w:before="40" w:after="12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2"/>
                <w:szCs w:val="22"/>
                <w:lang w:eastAsia="en-AU"/>
              </w:rPr>
            </w:pPr>
            <w:r w:rsidRPr="00DE44BE">
              <w:rPr>
                <w:rFonts w:ascii="Arial" w:eastAsia="Times New Roman" w:hAnsi="Arial" w:cs="Arial"/>
                <w:bCs/>
                <w:sz w:val="22"/>
                <w:szCs w:val="22"/>
                <w:lang w:eastAsia="en-AU"/>
              </w:rPr>
              <w:t>Proportion deductible</w:t>
            </w:r>
          </w:p>
        </w:tc>
        <w:tc>
          <w:tcPr>
            <w:tcW w:w="668" w:type="pct"/>
            <w:noWrap/>
            <w:hideMark/>
          </w:tcPr>
          <w:p w14:paraId="38AF760A" w14:textId="77777777" w:rsidR="007A6526" w:rsidRPr="00DE44BE" w:rsidRDefault="007A6526" w:rsidP="007A6526">
            <w:pPr>
              <w:spacing w:before="40" w:after="12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sz w:val="22"/>
                <w:szCs w:val="22"/>
                <w:lang w:eastAsia="en-AU"/>
              </w:rPr>
            </w:pPr>
            <w:r w:rsidRPr="00DE44BE">
              <w:rPr>
                <w:rFonts w:ascii="Arial" w:eastAsia="Times New Roman" w:hAnsi="Arial" w:cs="Arial"/>
                <w:bCs/>
                <w:sz w:val="22"/>
                <w:szCs w:val="22"/>
                <w:lang w:eastAsia="en-AU"/>
              </w:rPr>
              <w:t>Estimated tax deduction ($)</w:t>
            </w:r>
          </w:p>
        </w:tc>
      </w:tr>
      <w:tr w:rsidR="00F263A1" w:rsidRPr="00DE44BE" w14:paraId="3A0F5269"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22E3775E" w14:textId="7777777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t>Bank acct structures</w:t>
            </w:r>
          </w:p>
        </w:tc>
        <w:tc>
          <w:tcPr>
            <w:tcW w:w="2122" w:type="pct"/>
            <w:noWrap/>
            <w:vAlign w:val="center"/>
          </w:tcPr>
          <w:p w14:paraId="0B672453" w14:textId="469EDD40"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Use of mortgage offset accounts reduces assessable income and tax obligations </w:t>
            </w:r>
            <w:r w:rsidR="00A4350F">
              <w:rPr>
                <w:rFonts w:eastAsia="Times New Roman" w:cs="Arial"/>
                <w:sz w:val="22"/>
                <w:szCs w:val="22"/>
                <w:lang w:eastAsia="en-AU"/>
              </w:rPr>
              <w:t>(s 25-5)</w:t>
            </w:r>
          </w:p>
        </w:tc>
        <w:tc>
          <w:tcPr>
            <w:tcW w:w="668" w:type="pct"/>
            <w:noWrap/>
            <w:vAlign w:val="center"/>
            <w:hideMark/>
          </w:tcPr>
          <w:p w14:paraId="0EE92918"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5%</w:t>
            </w:r>
          </w:p>
        </w:tc>
        <w:tc>
          <w:tcPr>
            <w:tcW w:w="735" w:type="pct"/>
            <w:vAlign w:val="center"/>
          </w:tcPr>
          <w:p w14:paraId="21DA4640"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20%</w:t>
            </w:r>
          </w:p>
        </w:tc>
        <w:tc>
          <w:tcPr>
            <w:tcW w:w="668" w:type="pct"/>
            <w:noWrap/>
            <w:vAlign w:val="center"/>
            <w:hideMark/>
          </w:tcPr>
          <w:p w14:paraId="4DC5D87F"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88.00   </w:t>
            </w:r>
          </w:p>
        </w:tc>
      </w:tr>
      <w:tr w:rsidR="00F263A1" w:rsidRPr="00DE44BE" w14:paraId="3820220F"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78D94A8D" w14:textId="7777777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t xml:space="preserve">Budgeting </w:t>
            </w:r>
          </w:p>
        </w:tc>
        <w:tc>
          <w:tcPr>
            <w:tcW w:w="2122" w:type="pct"/>
            <w:noWrap/>
            <w:vAlign w:val="center"/>
          </w:tcPr>
          <w:p w14:paraId="430DFD35"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Not related to tax affairs</w:t>
            </w:r>
          </w:p>
        </w:tc>
        <w:tc>
          <w:tcPr>
            <w:tcW w:w="668" w:type="pct"/>
            <w:noWrap/>
            <w:vAlign w:val="center"/>
            <w:hideMark/>
          </w:tcPr>
          <w:p w14:paraId="0AB7A902"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5%</w:t>
            </w:r>
          </w:p>
        </w:tc>
        <w:tc>
          <w:tcPr>
            <w:tcW w:w="735" w:type="pct"/>
            <w:vAlign w:val="center"/>
          </w:tcPr>
          <w:p w14:paraId="42DB6188" w14:textId="0D4ABF81" w:rsidR="007A6526" w:rsidRPr="00DE44BE" w:rsidRDefault="00D93DA3"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Pr>
                <w:rFonts w:eastAsia="Times New Roman" w:cs="Arial"/>
                <w:sz w:val="22"/>
                <w:szCs w:val="22"/>
                <w:lang w:eastAsia="en-AU"/>
              </w:rPr>
              <w:t>Nil</w:t>
            </w:r>
          </w:p>
        </w:tc>
        <w:tc>
          <w:tcPr>
            <w:tcW w:w="668" w:type="pct"/>
            <w:noWrap/>
            <w:vAlign w:val="center"/>
            <w:hideMark/>
          </w:tcPr>
          <w:p w14:paraId="753973E6"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   </w:t>
            </w:r>
          </w:p>
        </w:tc>
      </w:tr>
      <w:tr w:rsidR="00F263A1" w:rsidRPr="00DE44BE" w14:paraId="68B56509"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43C77BAE" w14:textId="7777777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lastRenderedPageBreak/>
              <w:t>Financial modelling</w:t>
            </w:r>
          </w:p>
        </w:tc>
        <w:tc>
          <w:tcPr>
            <w:tcW w:w="2122" w:type="pct"/>
            <w:noWrap/>
            <w:vAlign w:val="center"/>
          </w:tcPr>
          <w:p w14:paraId="56E0A112" w14:textId="2892FA43"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Financial modelling that considered and calculated the tax payable now and over time for all strategies (s 25-5)</w:t>
            </w:r>
          </w:p>
        </w:tc>
        <w:tc>
          <w:tcPr>
            <w:tcW w:w="668" w:type="pct"/>
            <w:noWrap/>
            <w:vAlign w:val="center"/>
            <w:hideMark/>
          </w:tcPr>
          <w:p w14:paraId="029007BC"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10%</w:t>
            </w:r>
          </w:p>
        </w:tc>
        <w:tc>
          <w:tcPr>
            <w:tcW w:w="735" w:type="pct"/>
            <w:vAlign w:val="center"/>
          </w:tcPr>
          <w:p w14:paraId="6A8562C1"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100%</w:t>
            </w:r>
          </w:p>
        </w:tc>
        <w:tc>
          <w:tcPr>
            <w:tcW w:w="668" w:type="pct"/>
            <w:noWrap/>
            <w:vAlign w:val="center"/>
            <w:hideMark/>
          </w:tcPr>
          <w:p w14:paraId="1A2A6D72"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880.00 </w:t>
            </w:r>
          </w:p>
        </w:tc>
      </w:tr>
      <w:tr w:rsidR="00F263A1" w:rsidRPr="00DE44BE" w14:paraId="01F13DE0"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11F1F412" w14:textId="7777777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t>Product switches</w:t>
            </w:r>
          </w:p>
        </w:tc>
        <w:tc>
          <w:tcPr>
            <w:tcW w:w="2122" w:type="pct"/>
            <w:noWrap/>
            <w:vAlign w:val="center"/>
          </w:tcPr>
          <w:p w14:paraId="0A2D1C4D"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Not related to tax affairs</w:t>
            </w:r>
          </w:p>
        </w:tc>
        <w:tc>
          <w:tcPr>
            <w:tcW w:w="668" w:type="pct"/>
            <w:noWrap/>
            <w:vAlign w:val="center"/>
            <w:hideMark/>
          </w:tcPr>
          <w:p w14:paraId="7FA36D91"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5%</w:t>
            </w:r>
          </w:p>
        </w:tc>
        <w:tc>
          <w:tcPr>
            <w:tcW w:w="735" w:type="pct"/>
            <w:vAlign w:val="center"/>
          </w:tcPr>
          <w:p w14:paraId="3BAF4B56" w14:textId="1B86346F" w:rsidR="007A6526" w:rsidRPr="00DE44BE" w:rsidRDefault="00D93DA3"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Pr>
                <w:rFonts w:eastAsia="Times New Roman" w:cs="Arial"/>
                <w:sz w:val="22"/>
                <w:szCs w:val="22"/>
                <w:lang w:eastAsia="en-AU"/>
              </w:rPr>
              <w:t>Nil</w:t>
            </w:r>
          </w:p>
        </w:tc>
        <w:tc>
          <w:tcPr>
            <w:tcW w:w="668" w:type="pct"/>
            <w:noWrap/>
            <w:vAlign w:val="center"/>
            <w:hideMark/>
          </w:tcPr>
          <w:p w14:paraId="4EE9FF3A"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   </w:t>
            </w:r>
          </w:p>
        </w:tc>
      </w:tr>
      <w:tr w:rsidR="00F263A1" w:rsidRPr="00DE44BE" w14:paraId="3482E326"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1EDF59C6" w14:textId="4FBB19B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t>Super contribution</w:t>
            </w:r>
          </w:p>
        </w:tc>
        <w:tc>
          <w:tcPr>
            <w:tcW w:w="2122" w:type="pct"/>
            <w:noWrap/>
            <w:vAlign w:val="center"/>
            <w:hideMark/>
          </w:tcPr>
          <w:p w14:paraId="7983B887" w14:textId="6750F9FB"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Considered existing and proposed superannuation contributions and its impact on taxable income and the taxation of those funds in the superannuation environment in comparison to the personal tax environment (s 25-5)</w:t>
            </w:r>
          </w:p>
        </w:tc>
        <w:tc>
          <w:tcPr>
            <w:tcW w:w="668" w:type="pct"/>
            <w:noWrap/>
            <w:vAlign w:val="center"/>
            <w:hideMark/>
          </w:tcPr>
          <w:p w14:paraId="4D4AFB58"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10%</w:t>
            </w:r>
          </w:p>
        </w:tc>
        <w:tc>
          <w:tcPr>
            <w:tcW w:w="735" w:type="pct"/>
            <w:vAlign w:val="center"/>
          </w:tcPr>
          <w:p w14:paraId="509932D0"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100%</w:t>
            </w:r>
          </w:p>
        </w:tc>
        <w:tc>
          <w:tcPr>
            <w:tcW w:w="668" w:type="pct"/>
            <w:noWrap/>
            <w:vAlign w:val="center"/>
            <w:hideMark/>
          </w:tcPr>
          <w:p w14:paraId="203F3938"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880.00 </w:t>
            </w:r>
          </w:p>
        </w:tc>
      </w:tr>
      <w:tr w:rsidR="00F263A1" w:rsidRPr="00DE44BE" w14:paraId="1A4556C9"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1C50FF6D" w14:textId="7777777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t>Investment (shares, managed funds etc.)</w:t>
            </w:r>
          </w:p>
        </w:tc>
        <w:tc>
          <w:tcPr>
            <w:tcW w:w="2122" w:type="pct"/>
            <w:noWrap/>
            <w:vAlign w:val="center"/>
            <w:hideMark/>
          </w:tcPr>
          <w:p w14:paraId="6A63AB2C"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Investment ownership considerations: understanding existing tax situation, considering alternative options and their tax implications specifically around not investing (paying off debt) family trusts, capital gains and taxable income and recommendations for personally held investments with consideration to taxable income (s 8-1 and s 25-5)</w:t>
            </w:r>
          </w:p>
        </w:tc>
        <w:tc>
          <w:tcPr>
            <w:tcW w:w="668" w:type="pct"/>
            <w:noWrap/>
            <w:vAlign w:val="center"/>
            <w:hideMark/>
          </w:tcPr>
          <w:p w14:paraId="0CAAA821"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20%</w:t>
            </w:r>
          </w:p>
        </w:tc>
        <w:tc>
          <w:tcPr>
            <w:tcW w:w="735" w:type="pct"/>
            <w:vAlign w:val="center"/>
          </w:tcPr>
          <w:p w14:paraId="0A00B81C"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80%</w:t>
            </w:r>
          </w:p>
        </w:tc>
        <w:tc>
          <w:tcPr>
            <w:tcW w:w="668" w:type="pct"/>
            <w:noWrap/>
            <w:vAlign w:val="center"/>
            <w:hideMark/>
          </w:tcPr>
          <w:p w14:paraId="58A3AD89"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1,408.00 </w:t>
            </w:r>
          </w:p>
        </w:tc>
      </w:tr>
      <w:tr w:rsidR="00F263A1" w:rsidRPr="00DE44BE" w14:paraId="09070BD6"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711F13B7" w14:textId="7777777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t>Investment &amp; education bond</w:t>
            </w:r>
          </w:p>
        </w:tc>
        <w:tc>
          <w:tcPr>
            <w:tcW w:w="2122" w:type="pct"/>
            <w:noWrap/>
            <w:vAlign w:val="center"/>
            <w:hideMark/>
          </w:tcPr>
          <w:p w14:paraId="5044443F"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Investment ownership considerations: understanding existing tax situation, considering alternative options and their tax implications specifically around not investing (paying off debt) family trusts, capital gains and taxable income and recommendations for personally held investments with consideration to taxable income (s 25-5)</w:t>
            </w:r>
          </w:p>
        </w:tc>
        <w:tc>
          <w:tcPr>
            <w:tcW w:w="668" w:type="pct"/>
            <w:noWrap/>
            <w:vAlign w:val="center"/>
            <w:hideMark/>
          </w:tcPr>
          <w:p w14:paraId="65FB0CF6"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20%</w:t>
            </w:r>
          </w:p>
        </w:tc>
        <w:tc>
          <w:tcPr>
            <w:tcW w:w="735" w:type="pct"/>
            <w:vAlign w:val="center"/>
          </w:tcPr>
          <w:p w14:paraId="6B2D1EAB"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80%</w:t>
            </w:r>
          </w:p>
        </w:tc>
        <w:tc>
          <w:tcPr>
            <w:tcW w:w="668" w:type="pct"/>
            <w:noWrap/>
            <w:vAlign w:val="center"/>
            <w:hideMark/>
          </w:tcPr>
          <w:p w14:paraId="3CFE7624"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1,408.00 </w:t>
            </w:r>
          </w:p>
        </w:tc>
      </w:tr>
      <w:tr w:rsidR="00F263A1" w:rsidRPr="00DE44BE" w14:paraId="03EBF82F"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6E5DD287" w14:textId="7777777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t xml:space="preserve">Recurring investment </w:t>
            </w:r>
          </w:p>
        </w:tc>
        <w:tc>
          <w:tcPr>
            <w:tcW w:w="2122" w:type="pct"/>
            <w:noWrap/>
            <w:vAlign w:val="center"/>
            <w:hideMark/>
          </w:tcPr>
          <w:p w14:paraId="20627151"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Investment ownership considerations: understanding existing tax situation, considering alternative options and their tax implications specifically around not investing (paying off debt) family trusts, capital gains and taxable income and recommendations for personally held investments with consideration to taxable income (s 25-5)</w:t>
            </w:r>
          </w:p>
        </w:tc>
        <w:tc>
          <w:tcPr>
            <w:tcW w:w="668" w:type="pct"/>
            <w:noWrap/>
            <w:vAlign w:val="center"/>
            <w:hideMark/>
          </w:tcPr>
          <w:p w14:paraId="7BA1F608"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10%</w:t>
            </w:r>
          </w:p>
        </w:tc>
        <w:tc>
          <w:tcPr>
            <w:tcW w:w="735" w:type="pct"/>
            <w:vAlign w:val="center"/>
          </w:tcPr>
          <w:p w14:paraId="0F68874C"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80%</w:t>
            </w:r>
          </w:p>
        </w:tc>
        <w:tc>
          <w:tcPr>
            <w:tcW w:w="668" w:type="pct"/>
            <w:noWrap/>
            <w:vAlign w:val="center"/>
            <w:hideMark/>
          </w:tcPr>
          <w:p w14:paraId="381B21C9"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704.00 </w:t>
            </w:r>
          </w:p>
        </w:tc>
      </w:tr>
      <w:tr w:rsidR="00F263A1" w:rsidRPr="00DE44BE" w14:paraId="38700F85"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0E9CE697" w14:textId="7777777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t>Personal insurance</w:t>
            </w:r>
          </w:p>
        </w:tc>
        <w:tc>
          <w:tcPr>
            <w:tcW w:w="2122" w:type="pct"/>
            <w:noWrap/>
            <w:vAlign w:val="center"/>
            <w:hideMark/>
          </w:tcPr>
          <w:p w14:paraId="3446D538" w14:textId="4A923D92" w:rsidR="007A6526" w:rsidRPr="00DE44BE" w:rsidRDefault="003E0F2D"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3E0F2D">
              <w:rPr>
                <w:rFonts w:eastAsia="Times New Roman" w:cs="Arial"/>
                <w:sz w:val="22"/>
                <w:szCs w:val="22"/>
                <w:highlight w:val="yellow"/>
                <w:lang w:eastAsia="en-AU"/>
              </w:rPr>
              <w:t>Client2</w:t>
            </w:r>
            <w:r w:rsidR="007A6526" w:rsidRPr="00DE44BE">
              <w:rPr>
                <w:rFonts w:eastAsia="Times New Roman" w:cs="Arial"/>
                <w:sz w:val="22"/>
                <w:szCs w:val="22"/>
                <w:lang w:eastAsia="en-AU"/>
              </w:rPr>
              <w:t xml:space="preserve"> income protection is tax deductible and makes up approx. half of their total premium (s 8-1). Advice on life/TPB insurance is </w:t>
            </w:r>
            <w:r w:rsidR="007A6526" w:rsidRPr="00DE44BE">
              <w:rPr>
                <w:rFonts w:eastAsia="Times New Roman" w:cs="Arial"/>
                <w:i/>
                <w:iCs/>
                <w:sz w:val="22"/>
                <w:szCs w:val="22"/>
                <w:lang w:eastAsia="en-AU"/>
              </w:rPr>
              <w:t>tax (financial advice)</w:t>
            </w:r>
            <w:r w:rsidR="007A6526" w:rsidRPr="00DE44BE">
              <w:rPr>
                <w:rFonts w:eastAsia="Times New Roman" w:cs="Arial"/>
                <w:sz w:val="22"/>
                <w:szCs w:val="22"/>
                <w:lang w:eastAsia="en-AU"/>
              </w:rPr>
              <w:t xml:space="preserve"> as </w:t>
            </w:r>
            <w:r w:rsidR="00921302">
              <w:rPr>
                <w:rFonts w:eastAsia="Times New Roman" w:cs="Arial"/>
                <w:sz w:val="22"/>
                <w:szCs w:val="22"/>
                <w:lang w:eastAsia="en-AU"/>
              </w:rPr>
              <w:t xml:space="preserve">cover </w:t>
            </w:r>
            <w:r w:rsidR="00A4350F">
              <w:rPr>
                <w:rFonts w:eastAsia="Times New Roman" w:cs="Arial"/>
                <w:sz w:val="22"/>
                <w:szCs w:val="22"/>
                <w:lang w:eastAsia="en-AU"/>
              </w:rPr>
              <w:t xml:space="preserve">is held inside </w:t>
            </w:r>
            <w:r w:rsidR="007A6526" w:rsidRPr="00DE44BE">
              <w:rPr>
                <w:rFonts w:eastAsia="Times New Roman" w:cs="Arial"/>
                <w:sz w:val="22"/>
                <w:szCs w:val="22"/>
                <w:lang w:eastAsia="en-AU"/>
              </w:rPr>
              <w:t xml:space="preserve">superannuation </w:t>
            </w:r>
            <w:r w:rsidR="00A4350F">
              <w:rPr>
                <w:rFonts w:eastAsia="Times New Roman" w:cs="Arial"/>
                <w:sz w:val="22"/>
                <w:szCs w:val="22"/>
                <w:lang w:eastAsia="en-AU"/>
              </w:rPr>
              <w:t xml:space="preserve">fund </w:t>
            </w:r>
            <w:r w:rsidR="007A6526" w:rsidRPr="00DE44BE">
              <w:rPr>
                <w:rFonts w:eastAsia="Times New Roman" w:cs="Arial"/>
                <w:sz w:val="22"/>
                <w:szCs w:val="22"/>
                <w:lang w:eastAsia="en-AU"/>
              </w:rPr>
              <w:t xml:space="preserve">(s 25-5) </w:t>
            </w:r>
          </w:p>
        </w:tc>
        <w:tc>
          <w:tcPr>
            <w:tcW w:w="668" w:type="pct"/>
            <w:noWrap/>
            <w:vAlign w:val="center"/>
            <w:hideMark/>
          </w:tcPr>
          <w:p w14:paraId="1C6E9F2F"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10%</w:t>
            </w:r>
          </w:p>
        </w:tc>
        <w:tc>
          <w:tcPr>
            <w:tcW w:w="735" w:type="pct"/>
            <w:vAlign w:val="center"/>
          </w:tcPr>
          <w:p w14:paraId="5ADD9FBF"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65%</w:t>
            </w:r>
          </w:p>
        </w:tc>
        <w:tc>
          <w:tcPr>
            <w:tcW w:w="668" w:type="pct"/>
            <w:noWrap/>
            <w:vAlign w:val="center"/>
            <w:hideMark/>
          </w:tcPr>
          <w:p w14:paraId="03463BC8"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572.00 </w:t>
            </w:r>
          </w:p>
        </w:tc>
      </w:tr>
      <w:tr w:rsidR="00F263A1" w:rsidRPr="00DE44BE" w14:paraId="62D01CC7"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hideMark/>
          </w:tcPr>
          <w:p w14:paraId="3E102D12" w14:textId="77777777" w:rsidR="007A6526" w:rsidRPr="00DE44BE" w:rsidRDefault="007A6526" w:rsidP="007A6526">
            <w:pPr>
              <w:spacing w:before="40" w:after="120" w:line="240" w:lineRule="auto"/>
              <w:rPr>
                <w:rFonts w:eastAsia="Times New Roman" w:cs="Arial"/>
                <w:bCs/>
                <w:sz w:val="22"/>
                <w:szCs w:val="22"/>
                <w:lang w:eastAsia="en-AU"/>
              </w:rPr>
            </w:pPr>
            <w:r w:rsidRPr="00DE44BE">
              <w:rPr>
                <w:rFonts w:eastAsia="Times New Roman" w:cs="Arial"/>
                <w:bCs/>
                <w:sz w:val="22"/>
                <w:szCs w:val="22"/>
                <w:lang w:eastAsia="en-AU"/>
              </w:rPr>
              <w:t xml:space="preserve">Estate planning </w:t>
            </w:r>
          </w:p>
        </w:tc>
        <w:tc>
          <w:tcPr>
            <w:tcW w:w="2122" w:type="pct"/>
            <w:noWrap/>
            <w:vAlign w:val="center"/>
            <w:hideMark/>
          </w:tcPr>
          <w:p w14:paraId="0D9DEE86"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Not related to tax affairs</w:t>
            </w:r>
          </w:p>
        </w:tc>
        <w:tc>
          <w:tcPr>
            <w:tcW w:w="668" w:type="pct"/>
            <w:noWrap/>
            <w:vAlign w:val="center"/>
            <w:hideMark/>
          </w:tcPr>
          <w:p w14:paraId="7ED43C21"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5%</w:t>
            </w:r>
          </w:p>
        </w:tc>
        <w:tc>
          <w:tcPr>
            <w:tcW w:w="735" w:type="pct"/>
            <w:vAlign w:val="center"/>
          </w:tcPr>
          <w:p w14:paraId="2F13B9B2" w14:textId="7195AD09" w:rsidR="007A6526" w:rsidRPr="00DE44BE" w:rsidRDefault="00D93DA3"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Pr>
                <w:rFonts w:eastAsia="Times New Roman" w:cs="Arial"/>
                <w:sz w:val="22"/>
                <w:szCs w:val="22"/>
                <w:lang w:eastAsia="en-AU"/>
              </w:rPr>
              <w:t>Nil</w:t>
            </w:r>
          </w:p>
        </w:tc>
        <w:tc>
          <w:tcPr>
            <w:tcW w:w="668" w:type="pct"/>
            <w:noWrap/>
            <w:vAlign w:val="center"/>
            <w:hideMark/>
          </w:tcPr>
          <w:p w14:paraId="22C7B74F"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AU"/>
              </w:rPr>
            </w:pPr>
            <w:r w:rsidRPr="00DE44BE">
              <w:rPr>
                <w:rFonts w:eastAsia="Times New Roman" w:cs="Arial"/>
                <w:sz w:val="22"/>
                <w:szCs w:val="22"/>
                <w:lang w:eastAsia="en-AU"/>
              </w:rPr>
              <w:t xml:space="preserve">-   </w:t>
            </w:r>
          </w:p>
        </w:tc>
      </w:tr>
      <w:tr w:rsidR="00F263A1" w:rsidRPr="00DE44BE" w14:paraId="4387F42F" w14:textId="77777777" w:rsidTr="00BB64C2">
        <w:trPr>
          <w:trHeight w:val="285"/>
        </w:trPr>
        <w:tc>
          <w:tcPr>
            <w:cnfStyle w:val="001000000000" w:firstRow="0" w:lastRow="0" w:firstColumn="1" w:lastColumn="0" w:oddVBand="0" w:evenVBand="0" w:oddHBand="0" w:evenHBand="0" w:firstRowFirstColumn="0" w:firstRowLastColumn="0" w:lastRowFirstColumn="0" w:lastRowLastColumn="0"/>
            <w:tcW w:w="806" w:type="pct"/>
            <w:noWrap/>
            <w:vAlign w:val="center"/>
          </w:tcPr>
          <w:p w14:paraId="64ECD848" w14:textId="77777777" w:rsidR="007A6526" w:rsidRPr="00DE44BE" w:rsidRDefault="007A6526" w:rsidP="007A6526">
            <w:pPr>
              <w:spacing w:before="40" w:after="120" w:line="240" w:lineRule="auto"/>
              <w:rPr>
                <w:rFonts w:eastAsia="Times New Roman" w:cs="Arial"/>
                <w:sz w:val="22"/>
                <w:szCs w:val="22"/>
                <w:lang w:eastAsia="en-AU"/>
              </w:rPr>
            </w:pPr>
          </w:p>
        </w:tc>
        <w:tc>
          <w:tcPr>
            <w:tcW w:w="2122" w:type="pct"/>
            <w:noWrap/>
            <w:vAlign w:val="center"/>
          </w:tcPr>
          <w:p w14:paraId="6D3221C3"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22"/>
                <w:szCs w:val="22"/>
                <w:lang w:eastAsia="en-AU"/>
              </w:rPr>
            </w:pPr>
            <w:r w:rsidRPr="00DE44BE">
              <w:rPr>
                <w:rFonts w:eastAsia="Times New Roman" w:cs="Arial"/>
                <w:b/>
                <w:bCs/>
                <w:sz w:val="22"/>
                <w:szCs w:val="22"/>
                <w:lang w:eastAsia="en-AU"/>
              </w:rPr>
              <w:t>TOTAL</w:t>
            </w:r>
          </w:p>
        </w:tc>
        <w:tc>
          <w:tcPr>
            <w:tcW w:w="668" w:type="pct"/>
            <w:noWrap/>
            <w:vAlign w:val="center"/>
          </w:tcPr>
          <w:p w14:paraId="37462D5A"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22"/>
                <w:szCs w:val="22"/>
                <w:lang w:eastAsia="en-AU"/>
              </w:rPr>
            </w:pPr>
            <w:r w:rsidRPr="00DE44BE">
              <w:rPr>
                <w:rFonts w:eastAsia="Times New Roman" w:cs="Arial"/>
                <w:b/>
                <w:bCs/>
                <w:sz w:val="22"/>
                <w:szCs w:val="22"/>
                <w:lang w:eastAsia="en-AU"/>
              </w:rPr>
              <w:t>100%</w:t>
            </w:r>
          </w:p>
        </w:tc>
        <w:tc>
          <w:tcPr>
            <w:tcW w:w="735" w:type="pct"/>
            <w:vAlign w:val="center"/>
          </w:tcPr>
          <w:p w14:paraId="1A46A4BF"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22"/>
                <w:szCs w:val="22"/>
                <w:lang w:eastAsia="en-AU"/>
              </w:rPr>
            </w:pPr>
          </w:p>
        </w:tc>
        <w:tc>
          <w:tcPr>
            <w:tcW w:w="668" w:type="pct"/>
            <w:noWrap/>
            <w:vAlign w:val="center"/>
          </w:tcPr>
          <w:p w14:paraId="232AFF11" w14:textId="77777777" w:rsidR="007A6526" w:rsidRPr="00DE44BE" w:rsidRDefault="007A6526" w:rsidP="007A6526">
            <w:pPr>
              <w:spacing w:before="4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22"/>
                <w:szCs w:val="22"/>
                <w:lang w:eastAsia="en-AU"/>
              </w:rPr>
            </w:pPr>
            <w:r w:rsidRPr="00DE44BE">
              <w:rPr>
                <w:rFonts w:eastAsia="Times New Roman" w:cs="Arial"/>
                <w:b/>
                <w:bCs/>
                <w:sz w:val="22"/>
                <w:szCs w:val="22"/>
                <w:lang w:eastAsia="en-AU"/>
              </w:rPr>
              <w:t>$5,940</w:t>
            </w:r>
          </w:p>
        </w:tc>
      </w:tr>
    </w:tbl>
    <w:p w14:paraId="626F7173" w14:textId="3D91F4C1" w:rsidR="00090627" w:rsidRPr="007A6526" w:rsidRDefault="007A6526" w:rsidP="00BB64C2">
      <w:pPr>
        <w:spacing w:before="40" w:after="120" w:line="312" w:lineRule="auto"/>
      </w:pPr>
      <w:r w:rsidRPr="00DE44BE">
        <w:rPr>
          <w:rFonts w:ascii="Arial" w:eastAsia="Arial" w:hAnsi="Arial" w:cs="Arial"/>
          <w:kern w:val="0"/>
          <w:sz w:val="22"/>
          <w:szCs w:val="22"/>
          <w:lang w:val="en-NZ"/>
          <w14:ligatures w14:val="none"/>
        </w:rPr>
        <w:t>The figures above include GST.</w:t>
      </w:r>
    </w:p>
    <w:sectPr w:rsidR="00090627" w:rsidRPr="007A6526" w:rsidSect="00B944B6">
      <w:pgSz w:w="11906" w:h="16838"/>
      <w:pgMar w:top="1134" w:right="1191" w:bottom="144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0E"/>
    <w:rsid w:val="00072F73"/>
    <w:rsid w:val="00090627"/>
    <w:rsid w:val="00096899"/>
    <w:rsid w:val="0010694E"/>
    <w:rsid w:val="00176920"/>
    <w:rsid w:val="00286370"/>
    <w:rsid w:val="00330034"/>
    <w:rsid w:val="00345D0E"/>
    <w:rsid w:val="00370ADD"/>
    <w:rsid w:val="003E0F2D"/>
    <w:rsid w:val="004203FB"/>
    <w:rsid w:val="00452EA9"/>
    <w:rsid w:val="005C5C38"/>
    <w:rsid w:val="006048B3"/>
    <w:rsid w:val="006104AB"/>
    <w:rsid w:val="00637F61"/>
    <w:rsid w:val="006A50AF"/>
    <w:rsid w:val="006F5F58"/>
    <w:rsid w:val="00711A5F"/>
    <w:rsid w:val="00730A60"/>
    <w:rsid w:val="007A6526"/>
    <w:rsid w:val="007D7683"/>
    <w:rsid w:val="009063C9"/>
    <w:rsid w:val="00921302"/>
    <w:rsid w:val="009B4D8F"/>
    <w:rsid w:val="009C329D"/>
    <w:rsid w:val="00A4350F"/>
    <w:rsid w:val="00A91E96"/>
    <w:rsid w:val="00AB2C4A"/>
    <w:rsid w:val="00B12EDC"/>
    <w:rsid w:val="00B944B6"/>
    <w:rsid w:val="00BB64C2"/>
    <w:rsid w:val="00C74609"/>
    <w:rsid w:val="00D93DA3"/>
    <w:rsid w:val="00DA05D8"/>
    <w:rsid w:val="00DA4148"/>
    <w:rsid w:val="00DA7B01"/>
    <w:rsid w:val="00DC0D0C"/>
    <w:rsid w:val="00DE44BE"/>
    <w:rsid w:val="00F02060"/>
    <w:rsid w:val="00F22110"/>
    <w:rsid w:val="00F263A1"/>
    <w:rsid w:val="00F548D7"/>
    <w:rsid w:val="00F90888"/>
    <w:rsid w:val="00FD0D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F74AC"/>
  <w15:chartTrackingRefBased/>
  <w15:docId w15:val="{9CEB3A7C-64AA-4E53-9EFF-947EA707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D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D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D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D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D0E"/>
    <w:rPr>
      <w:rFonts w:eastAsiaTheme="majorEastAsia" w:cstheme="majorBidi"/>
      <w:color w:val="272727" w:themeColor="text1" w:themeTint="D8"/>
    </w:rPr>
  </w:style>
  <w:style w:type="paragraph" w:styleId="Title">
    <w:name w:val="Title"/>
    <w:basedOn w:val="Normal"/>
    <w:next w:val="Normal"/>
    <w:link w:val="TitleChar"/>
    <w:uiPriority w:val="10"/>
    <w:qFormat/>
    <w:rsid w:val="00345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D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D0E"/>
    <w:pPr>
      <w:spacing w:before="160"/>
      <w:jc w:val="center"/>
    </w:pPr>
    <w:rPr>
      <w:i/>
      <w:iCs/>
      <w:color w:val="404040" w:themeColor="text1" w:themeTint="BF"/>
    </w:rPr>
  </w:style>
  <w:style w:type="character" w:customStyle="1" w:styleId="QuoteChar">
    <w:name w:val="Quote Char"/>
    <w:basedOn w:val="DefaultParagraphFont"/>
    <w:link w:val="Quote"/>
    <w:uiPriority w:val="29"/>
    <w:rsid w:val="00345D0E"/>
    <w:rPr>
      <w:i/>
      <w:iCs/>
      <w:color w:val="404040" w:themeColor="text1" w:themeTint="BF"/>
    </w:rPr>
  </w:style>
  <w:style w:type="paragraph" w:styleId="ListParagraph">
    <w:name w:val="List Paragraph"/>
    <w:basedOn w:val="Normal"/>
    <w:uiPriority w:val="34"/>
    <w:qFormat/>
    <w:rsid w:val="00345D0E"/>
    <w:pPr>
      <w:ind w:left="720"/>
      <w:contextualSpacing/>
    </w:pPr>
  </w:style>
  <w:style w:type="character" w:styleId="IntenseEmphasis">
    <w:name w:val="Intense Emphasis"/>
    <w:basedOn w:val="DefaultParagraphFont"/>
    <w:uiPriority w:val="21"/>
    <w:qFormat/>
    <w:rsid w:val="00345D0E"/>
    <w:rPr>
      <w:i/>
      <w:iCs/>
      <w:color w:val="0F4761" w:themeColor="accent1" w:themeShade="BF"/>
    </w:rPr>
  </w:style>
  <w:style w:type="paragraph" w:styleId="IntenseQuote">
    <w:name w:val="Intense Quote"/>
    <w:basedOn w:val="Normal"/>
    <w:next w:val="Normal"/>
    <w:link w:val="IntenseQuoteChar"/>
    <w:uiPriority w:val="30"/>
    <w:qFormat/>
    <w:rsid w:val="00345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D0E"/>
    <w:rPr>
      <w:i/>
      <w:iCs/>
      <w:color w:val="0F4761" w:themeColor="accent1" w:themeShade="BF"/>
    </w:rPr>
  </w:style>
  <w:style w:type="character" w:styleId="IntenseReference">
    <w:name w:val="Intense Reference"/>
    <w:basedOn w:val="DefaultParagraphFont"/>
    <w:uiPriority w:val="32"/>
    <w:qFormat/>
    <w:rsid w:val="00345D0E"/>
    <w:rPr>
      <w:b/>
      <w:bCs/>
      <w:smallCaps/>
      <w:color w:val="0F4761" w:themeColor="accent1" w:themeShade="BF"/>
      <w:spacing w:val="5"/>
    </w:rPr>
  </w:style>
  <w:style w:type="table" w:customStyle="1" w:styleId="CAANZDefaulttable1">
    <w:name w:val="CA ANZ Default table1"/>
    <w:basedOn w:val="TableNormal"/>
    <w:next w:val="TableGrid"/>
    <w:uiPriority w:val="39"/>
    <w:rsid w:val="00345D0E"/>
    <w:pPr>
      <w:spacing w:before="140" w:after="40" w:line="312" w:lineRule="auto"/>
      <w:ind w:left="85" w:right="85"/>
    </w:pPr>
    <w:rPr>
      <w:rFonts w:ascii="Arial" w:hAnsi="Arial"/>
      <w:color w:val="000000"/>
      <w:kern w:val="0"/>
      <w:sz w:val="16"/>
      <w:szCs w:val="20"/>
      <w:lang w:val="en-NZ"/>
      <w14:ligatures w14:val="none"/>
    </w:rPr>
    <w:tblPr>
      <w:tblStyleColBandSize w:val="1"/>
      <w:tblBorders>
        <w:top w:val="single" w:sz="6" w:space="0" w:color="0934C1"/>
        <w:bottom w:val="single" w:sz="6" w:space="0" w:color="0934C1"/>
        <w:insideH w:val="single" w:sz="2" w:space="0" w:color="0934C1"/>
        <w:insideV w:val="single" w:sz="18" w:space="0" w:color="FFFFFF"/>
      </w:tblBorders>
    </w:tblPr>
    <w:tcPr>
      <w:shd w:val="clear" w:color="auto" w:fill="auto"/>
      <w:tcMar>
        <w:left w:w="0" w:type="dxa"/>
        <w:right w:w="0" w:type="dxa"/>
      </w:tcMar>
    </w:tcPr>
    <w:tblStylePr w:type="fir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Yu Gothic Light" w:hAnsi="Yu Gothic Light"/>
        <w:b/>
        <w:i w:val="0"/>
        <w:color w:val="000000"/>
        <w:sz w:val="16"/>
      </w:rPr>
      <w:tblPr/>
      <w:tcPr>
        <w:tcBorders>
          <w:top w:val="single" w:sz="6" w:space="0" w:color="0934C1"/>
          <w:left w:val="nil"/>
          <w:bottom w:val="nil"/>
          <w:right w:val="nil"/>
          <w:insideH w:val="nil"/>
          <w:insideV w:val="single" w:sz="18" w:space="0" w:color="FFFFFF"/>
          <w:tl2br w:val="nil"/>
          <w:tr2bl w:val="nil"/>
        </w:tcBorders>
        <w:vAlign w:val="center"/>
      </w:tcPr>
    </w:tblStylePr>
    <w:tblStylePr w:type="la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sz w:val="16"/>
      </w:rPr>
      <w:tblPr/>
      <w:tcPr>
        <w:tcBorders>
          <w:top w:val="nil"/>
          <w:left w:val="nil"/>
          <w:bottom w:val="single" w:sz="6" w:space="0" w:color="0934C1"/>
          <w:right w:val="nil"/>
          <w:insideH w:val="nil"/>
          <w:insideV w:val="single" w:sz="18" w:space="0" w:color="FFFFFF"/>
          <w:tl2br w:val="nil"/>
          <w:tr2bl w:val="nil"/>
        </w:tcBorders>
      </w:tcPr>
    </w:tblStylePr>
    <w:tblStylePr w:type="firstCol">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color w:val="000000"/>
        <w:sz w:val="16"/>
      </w:rPr>
    </w:tblStylePr>
    <w:tblStylePr w:type="band2Vert">
      <w:rPr>
        <w:rFonts w:ascii="Arial" w:hAnsi="Arial"/>
        <w:b w:val="0"/>
        <w:i w:val="0"/>
        <w:color w:val="000000"/>
        <w:sz w:val="16"/>
      </w:rPr>
      <w:tblPr/>
      <w:tcPr>
        <w:shd w:val="clear" w:color="auto" w:fill="EEF1FA"/>
      </w:tcPr>
    </w:tblStylePr>
  </w:style>
  <w:style w:type="table" w:styleId="TableGrid">
    <w:name w:val="Table Grid"/>
    <w:basedOn w:val="TableNormal"/>
    <w:uiPriority w:val="39"/>
    <w:rsid w:val="00345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ANZDefaulttable2">
    <w:name w:val="CA ANZ Default table2"/>
    <w:basedOn w:val="TableNormal"/>
    <w:next w:val="TableGrid"/>
    <w:uiPriority w:val="39"/>
    <w:rsid w:val="00345D0E"/>
    <w:pPr>
      <w:spacing w:before="140" w:after="40" w:line="312" w:lineRule="auto"/>
      <w:ind w:left="85" w:right="85"/>
    </w:pPr>
    <w:rPr>
      <w:rFonts w:ascii="Arial" w:hAnsi="Arial"/>
      <w:color w:val="000000"/>
      <w:kern w:val="0"/>
      <w:sz w:val="16"/>
      <w:szCs w:val="20"/>
      <w:lang w:val="en-NZ"/>
      <w14:ligatures w14:val="none"/>
    </w:rPr>
    <w:tblPr>
      <w:tblStyleColBandSize w:val="1"/>
      <w:tblBorders>
        <w:top w:val="single" w:sz="6" w:space="0" w:color="0934C1"/>
        <w:bottom w:val="single" w:sz="6" w:space="0" w:color="0934C1"/>
        <w:insideH w:val="single" w:sz="2" w:space="0" w:color="0934C1"/>
        <w:insideV w:val="single" w:sz="18" w:space="0" w:color="FFFFFF"/>
      </w:tblBorders>
    </w:tblPr>
    <w:tcPr>
      <w:shd w:val="clear" w:color="auto" w:fill="auto"/>
      <w:tcMar>
        <w:left w:w="0" w:type="dxa"/>
        <w:right w:w="0" w:type="dxa"/>
      </w:tcMar>
    </w:tcPr>
    <w:tblStylePr w:type="fir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Yu Gothic Light" w:hAnsi="Yu Gothic Light"/>
        <w:b/>
        <w:i w:val="0"/>
        <w:color w:val="000000"/>
        <w:sz w:val="16"/>
      </w:rPr>
      <w:tblPr/>
      <w:tcPr>
        <w:tcBorders>
          <w:top w:val="single" w:sz="6" w:space="0" w:color="0934C1"/>
          <w:left w:val="nil"/>
          <w:bottom w:val="nil"/>
          <w:right w:val="nil"/>
          <w:insideH w:val="nil"/>
          <w:insideV w:val="single" w:sz="18" w:space="0" w:color="FFFFFF"/>
          <w:tl2br w:val="nil"/>
          <w:tr2bl w:val="nil"/>
        </w:tcBorders>
        <w:vAlign w:val="center"/>
      </w:tcPr>
    </w:tblStylePr>
    <w:tblStylePr w:type="la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sz w:val="16"/>
      </w:rPr>
      <w:tblPr/>
      <w:tcPr>
        <w:tcBorders>
          <w:top w:val="nil"/>
          <w:left w:val="nil"/>
          <w:bottom w:val="single" w:sz="6" w:space="0" w:color="0934C1"/>
          <w:right w:val="nil"/>
          <w:insideH w:val="nil"/>
          <w:insideV w:val="single" w:sz="18" w:space="0" w:color="FFFFFF"/>
          <w:tl2br w:val="nil"/>
          <w:tr2bl w:val="nil"/>
        </w:tcBorders>
      </w:tcPr>
    </w:tblStylePr>
    <w:tblStylePr w:type="firstCol">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color w:val="000000"/>
        <w:sz w:val="16"/>
      </w:rPr>
    </w:tblStylePr>
    <w:tblStylePr w:type="band2Vert">
      <w:rPr>
        <w:rFonts w:ascii="Arial" w:hAnsi="Arial"/>
        <w:b w:val="0"/>
        <w:i w:val="0"/>
        <w:color w:val="000000"/>
        <w:sz w:val="16"/>
      </w:rPr>
      <w:tblPr/>
      <w:tcPr>
        <w:shd w:val="clear" w:color="auto" w:fill="EEF1FA"/>
      </w:tcPr>
    </w:tblStylePr>
  </w:style>
  <w:style w:type="table" w:customStyle="1" w:styleId="CAANZDefaulttable3">
    <w:name w:val="CA ANZ Default table3"/>
    <w:basedOn w:val="TableNormal"/>
    <w:next w:val="TableGrid"/>
    <w:uiPriority w:val="39"/>
    <w:rsid w:val="007D7683"/>
    <w:pPr>
      <w:spacing w:before="140" w:after="40" w:line="312" w:lineRule="auto"/>
      <w:ind w:left="85" w:right="85"/>
    </w:pPr>
    <w:rPr>
      <w:rFonts w:ascii="Arial" w:hAnsi="Arial"/>
      <w:color w:val="000000"/>
      <w:kern w:val="0"/>
      <w:sz w:val="16"/>
      <w:szCs w:val="20"/>
      <w:lang w:val="en-NZ"/>
      <w14:ligatures w14:val="none"/>
    </w:rPr>
    <w:tblPr>
      <w:tblStyleColBandSize w:val="1"/>
      <w:tblBorders>
        <w:top w:val="single" w:sz="6" w:space="0" w:color="0934C1"/>
        <w:bottom w:val="single" w:sz="6" w:space="0" w:color="0934C1"/>
        <w:insideH w:val="single" w:sz="2" w:space="0" w:color="0934C1"/>
        <w:insideV w:val="single" w:sz="18" w:space="0" w:color="FFFFFF"/>
      </w:tblBorders>
    </w:tblPr>
    <w:tcPr>
      <w:shd w:val="clear" w:color="auto" w:fill="auto"/>
      <w:tcMar>
        <w:left w:w="0" w:type="dxa"/>
        <w:right w:w="0" w:type="dxa"/>
      </w:tcMar>
    </w:tcPr>
    <w:tblStylePr w:type="fir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ptos Display" w:hAnsi="Aptos Display"/>
        <w:b/>
        <w:i w:val="0"/>
        <w:color w:val="000000"/>
        <w:sz w:val="16"/>
      </w:rPr>
      <w:tblPr/>
      <w:tcPr>
        <w:tcBorders>
          <w:top w:val="single" w:sz="6" w:space="0" w:color="0934C1"/>
          <w:left w:val="nil"/>
          <w:bottom w:val="nil"/>
          <w:right w:val="nil"/>
          <w:insideH w:val="nil"/>
          <w:insideV w:val="single" w:sz="18" w:space="0" w:color="FFFFFF"/>
          <w:tl2br w:val="nil"/>
          <w:tr2bl w:val="nil"/>
        </w:tcBorders>
        <w:vAlign w:val="center"/>
      </w:tcPr>
    </w:tblStylePr>
    <w:tblStylePr w:type="la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sz w:val="16"/>
      </w:rPr>
      <w:tblPr/>
      <w:tcPr>
        <w:tcBorders>
          <w:top w:val="nil"/>
          <w:left w:val="nil"/>
          <w:bottom w:val="single" w:sz="6" w:space="0" w:color="0934C1"/>
          <w:right w:val="nil"/>
          <w:insideH w:val="nil"/>
          <w:insideV w:val="single" w:sz="18" w:space="0" w:color="FFFFFF"/>
          <w:tl2br w:val="nil"/>
          <w:tr2bl w:val="nil"/>
        </w:tcBorders>
      </w:tcPr>
    </w:tblStylePr>
    <w:tblStylePr w:type="firstCol">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color w:val="000000"/>
        <w:sz w:val="16"/>
      </w:rPr>
    </w:tblStylePr>
    <w:tblStylePr w:type="band2Vert">
      <w:rPr>
        <w:rFonts w:ascii="Arial" w:hAnsi="Arial"/>
        <w:b w:val="0"/>
        <w:i w:val="0"/>
        <w:color w:val="000000"/>
        <w:sz w:val="16"/>
      </w:rPr>
      <w:tblPr/>
      <w:tcPr>
        <w:shd w:val="clear" w:color="auto" w:fill="EEF1FA"/>
      </w:tcPr>
    </w:tblStylePr>
  </w:style>
  <w:style w:type="table" w:customStyle="1" w:styleId="CAANZDefaulttable4">
    <w:name w:val="CA ANZ Default table4"/>
    <w:basedOn w:val="TableNormal"/>
    <w:next w:val="TableGrid"/>
    <w:uiPriority w:val="39"/>
    <w:rsid w:val="007A6526"/>
    <w:pPr>
      <w:spacing w:before="140" w:after="40" w:line="312" w:lineRule="auto"/>
      <w:ind w:left="85" w:right="85"/>
    </w:pPr>
    <w:rPr>
      <w:rFonts w:ascii="Arial" w:hAnsi="Arial"/>
      <w:color w:val="000000"/>
      <w:kern w:val="0"/>
      <w:sz w:val="16"/>
      <w:szCs w:val="20"/>
      <w:lang w:val="en-NZ"/>
      <w14:ligatures w14:val="none"/>
    </w:rPr>
    <w:tblPr>
      <w:tblStyleColBandSize w:val="1"/>
      <w:tblBorders>
        <w:top w:val="single" w:sz="6" w:space="0" w:color="0934C1"/>
        <w:bottom w:val="single" w:sz="6" w:space="0" w:color="0934C1"/>
        <w:insideH w:val="single" w:sz="2" w:space="0" w:color="0934C1"/>
        <w:insideV w:val="single" w:sz="18" w:space="0" w:color="FFFFFF"/>
      </w:tblBorders>
    </w:tblPr>
    <w:tcPr>
      <w:shd w:val="clear" w:color="auto" w:fill="auto"/>
      <w:tcMar>
        <w:left w:w="0" w:type="dxa"/>
        <w:right w:w="0" w:type="dxa"/>
      </w:tcMar>
    </w:tcPr>
    <w:tblStylePr w:type="fir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ptos Display" w:hAnsi="Aptos Display"/>
        <w:b/>
        <w:i w:val="0"/>
        <w:color w:val="000000"/>
        <w:sz w:val="16"/>
      </w:rPr>
      <w:tblPr/>
      <w:tcPr>
        <w:tcBorders>
          <w:top w:val="single" w:sz="6" w:space="0" w:color="0934C1"/>
          <w:left w:val="nil"/>
          <w:bottom w:val="nil"/>
          <w:right w:val="nil"/>
          <w:insideH w:val="nil"/>
          <w:insideV w:val="single" w:sz="18" w:space="0" w:color="FFFFFF"/>
          <w:tl2br w:val="nil"/>
          <w:tr2bl w:val="nil"/>
        </w:tcBorders>
        <w:vAlign w:val="center"/>
      </w:tcPr>
    </w:tblStylePr>
    <w:tblStylePr w:type="la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sz w:val="16"/>
      </w:rPr>
      <w:tblPr/>
      <w:tcPr>
        <w:tcBorders>
          <w:top w:val="nil"/>
          <w:left w:val="nil"/>
          <w:bottom w:val="single" w:sz="6" w:space="0" w:color="0934C1"/>
          <w:right w:val="nil"/>
          <w:insideH w:val="nil"/>
          <w:insideV w:val="single" w:sz="18" w:space="0" w:color="FFFFFF"/>
          <w:tl2br w:val="nil"/>
          <w:tr2bl w:val="nil"/>
        </w:tcBorders>
      </w:tcPr>
    </w:tblStylePr>
    <w:tblStylePr w:type="firstCol">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color w:val="000000"/>
        <w:sz w:val="16"/>
      </w:rPr>
    </w:tblStylePr>
    <w:tblStylePr w:type="band2Vert">
      <w:rPr>
        <w:rFonts w:ascii="Arial" w:hAnsi="Arial"/>
        <w:b w:val="0"/>
        <w:i w:val="0"/>
        <w:color w:val="000000"/>
        <w:sz w:val="16"/>
      </w:rPr>
      <w:tblPr/>
      <w:tcPr>
        <w:shd w:val="clear" w:color="auto" w:fill="EEF1FA"/>
      </w:tcPr>
    </w:tblStylePr>
  </w:style>
  <w:style w:type="paragraph" w:styleId="Revision">
    <w:name w:val="Revision"/>
    <w:hidden/>
    <w:uiPriority w:val="99"/>
    <w:semiHidden/>
    <w:rsid w:val="00F26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a4ece4-17ad-4343-9fec-52aa8b13a730">
      <Terms xmlns="http://schemas.microsoft.com/office/infopath/2007/PartnerControls"/>
    </lcf76f155ced4ddcb4097134ff3c332f>
    <TaxCatchAll xmlns="46a65078-e7d1-4b67-9a6e-9934fae417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7DEB3A0453D4DA04C19ABF7AFCE76" ma:contentTypeVersion="18" ma:contentTypeDescription="Create a new document." ma:contentTypeScope="" ma:versionID="e908dd4c8081b62ba3e49f3e766d41af">
  <xsd:schema xmlns:xsd="http://www.w3.org/2001/XMLSchema" xmlns:xs="http://www.w3.org/2001/XMLSchema" xmlns:p="http://schemas.microsoft.com/office/2006/metadata/properties" xmlns:ns2="d3a4ece4-17ad-4343-9fec-52aa8b13a730" xmlns:ns3="46a65078-e7d1-4b67-9a6e-9934fae41738" targetNamespace="http://schemas.microsoft.com/office/2006/metadata/properties" ma:root="true" ma:fieldsID="bb89903afb98450444761b6d93a3d95b" ns2:_="" ns3:_="">
    <xsd:import namespace="d3a4ece4-17ad-4343-9fec-52aa8b13a730"/>
    <xsd:import namespace="46a65078-e7d1-4b67-9a6e-9934fae41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4ece4-17ad-4343-9fec-52aa8b13a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655d8-eba7-41d3-855a-fe04da3932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65078-e7d1-4b67-9a6e-9934fae417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5b01ad-7337-4360-8f73-1ef1ecba1ada}" ma:internalName="TaxCatchAll" ma:showField="CatchAllData" ma:web="46a65078-e7d1-4b67-9a6e-9934fae41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8482F-9E1F-4FBB-840A-4531F8F99AF9}">
  <ds:schemaRefs>
    <ds:schemaRef ds:uri="http://purl.org/dc/dcmitype/"/>
    <ds:schemaRef ds:uri="http://schemas.microsoft.com/office/2006/documentManagement/types"/>
    <ds:schemaRef ds:uri="http://purl.org/dc/elements/1.1/"/>
    <ds:schemaRef ds:uri="7e214b36-ddd7-4bdd-8249-baa6369b868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6C6CAA9-7D53-4CC4-B8D8-718043FBEF40}">
  <ds:schemaRefs>
    <ds:schemaRef ds:uri="http://schemas.microsoft.com/sharepoint/v3/contenttype/forms"/>
  </ds:schemaRefs>
</ds:datastoreItem>
</file>

<file path=customXml/itemProps3.xml><?xml version="1.0" encoding="utf-8"?>
<ds:datastoreItem xmlns:ds="http://schemas.openxmlformats.org/officeDocument/2006/customXml" ds:itemID="{25D6C9B9-A875-4B7B-806A-126D208BF209}"/>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2710</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Russell</dc:creator>
  <cp:keywords/>
  <dc:description/>
  <cp:lastModifiedBy>David Barrett</cp:lastModifiedBy>
  <cp:revision>2</cp:revision>
  <dcterms:created xsi:type="dcterms:W3CDTF">2025-05-21T22:45:00Z</dcterms:created>
  <dcterms:modified xsi:type="dcterms:W3CDTF">2025-05-21T22:45:00Z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126d403e-6e18-40ab-8f7b-1a6ac38ad9da</vt:lpwstr>
  </property>
  <property fmtid="{D5CDD505-2E9C-101B-9397-08002B2CF9AE}" pid="3" name="ContentTypeId">
    <vt:lpwstr>0x0101009E47DEB3A0453D4DA04C19ABF7AFCE76</vt:lpwstr>
  </property>
</Properties>
</file>