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1E6E" w14:textId="58638DD9" w:rsidR="00BE6005" w:rsidRPr="00BE6005" w:rsidRDefault="00BE6005" w:rsidP="00BE6005">
      <w:pPr>
        <w:spacing w:before="40" w:after="120" w:line="312" w:lineRule="auto"/>
        <w:outlineLvl w:val="1"/>
        <w:rPr>
          <w:rFonts w:ascii="Arial" w:eastAsia="Arial" w:hAnsi="Arial" w:cs="Times New Roman"/>
          <w:color w:val="0934C1"/>
          <w:kern w:val="0"/>
          <w:sz w:val="28"/>
          <w:szCs w:val="20"/>
          <w:lang w:val="en-NZ"/>
          <w14:ligatures w14:val="none"/>
        </w:rPr>
      </w:pPr>
      <w:r w:rsidRPr="00BE6005">
        <w:rPr>
          <w:rFonts w:ascii="Arial" w:eastAsia="Arial" w:hAnsi="Arial" w:cs="Times New Roman"/>
          <w:color w:val="0934C1"/>
          <w:kern w:val="0"/>
          <w:sz w:val="28"/>
          <w:szCs w:val="20"/>
          <w:lang w:val="en-NZ"/>
          <w14:ligatures w14:val="none"/>
        </w:rPr>
        <w:t xml:space="preserve">Sample </w:t>
      </w:r>
      <w:proofErr w:type="spellStart"/>
      <w:r w:rsidRPr="00BE6005">
        <w:rPr>
          <w:rFonts w:ascii="Arial" w:eastAsia="Arial" w:hAnsi="Arial" w:cs="Times New Roman"/>
          <w:color w:val="0934C1"/>
          <w:kern w:val="0"/>
          <w:sz w:val="28"/>
          <w:szCs w:val="20"/>
          <w:lang w:val="en-NZ"/>
          <w14:ligatures w14:val="none"/>
        </w:rPr>
        <w:t>S</w:t>
      </w:r>
      <w:r w:rsidR="00451A02">
        <w:rPr>
          <w:rFonts w:ascii="Arial" w:eastAsia="Arial" w:hAnsi="Arial" w:cs="Times New Roman"/>
          <w:color w:val="0934C1"/>
          <w:kern w:val="0"/>
          <w:sz w:val="28"/>
          <w:szCs w:val="20"/>
          <w:lang w:val="en-NZ"/>
          <w14:ligatures w14:val="none"/>
        </w:rPr>
        <w:t>o</w:t>
      </w:r>
      <w:r w:rsidRPr="00BE6005">
        <w:rPr>
          <w:rFonts w:ascii="Arial" w:eastAsia="Arial" w:hAnsi="Arial" w:cs="Times New Roman"/>
          <w:color w:val="0934C1"/>
          <w:kern w:val="0"/>
          <w:sz w:val="28"/>
          <w:szCs w:val="20"/>
          <w:lang w:val="en-NZ"/>
          <w14:ligatures w14:val="none"/>
        </w:rPr>
        <w:t>A</w:t>
      </w:r>
      <w:proofErr w:type="spellEnd"/>
      <w:r w:rsidRPr="00BE6005">
        <w:rPr>
          <w:rFonts w:ascii="Arial" w:eastAsia="Arial" w:hAnsi="Arial" w:cs="Times New Roman"/>
          <w:color w:val="0934C1"/>
          <w:kern w:val="0"/>
          <w:sz w:val="28"/>
          <w:szCs w:val="20"/>
          <w:lang w:val="en-NZ"/>
          <w14:ligatures w14:val="none"/>
        </w:rPr>
        <w:t xml:space="preserve"> text</w:t>
      </w:r>
    </w:p>
    <w:p w14:paraId="787D3368" w14:textId="12ABF98B"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r w:rsidRPr="00CE1C60">
        <w:rPr>
          <w:rFonts w:ascii="Arial" w:eastAsia="Times New Roman" w:hAnsi="Arial" w:cs="Arial"/>
          <w:kern w:val="0"/>
          <w:sz w:val="22"/>
          <w:szCs w:val="22"/>
          <w:lang w:val="en-NZ" w:eastAsia="en-AU"/>
          <w14:ligatures w14:val="none"/>
        </w:rPr>
        <w:t xml:space="preserve">The following text can be included as part of the Disclosure of Fees section of the </w:t>
      </w:r>
      <w:proofErr w:type="spellStart"/>
      <w:r w:rsidRPr="00CE1C60">
        <w:rPr>
          <w:rFonts w:ascii="Arial" w:eastAsia="Times New Roman" w:hAnsi="Arial" w:cs="Arial"/>
          <w:kern w:val="0"/>
          <w:sz w:val="22"/>
          <w:szCs w:val="22"/>
          <w:lang w:val="en-NZ" w:eastAsia="en-AU"/>
          <w14:ligatures w14:val="none"/>
        </w:rPr>
        <w:t>S</w:t>
      </w:r>
      <w:r w:rsidR="00AC5FA6">
        <w:rPr>
          <w:rFonts w:ascii="Arial" w:eastAsia="Times New Roman" w:hAnsi="Arial" w:cs="Arial"/>
          <w:kern w:val="0"/>
          <w:sz w:val="22"/>
          <w:szCs w:val="22"/>
          <w:lang w:val="en-NZ" w:eastAsia="en-AU"/>
          <w14:ligatures w14:val="none"/>
        </w:rPr>
        <w:t>o</w:t>
      </w:r>
      <w:r w:rsidRPr="00CE1C60">
        <w:rPr>
          <w:rFonts w:ascii="Arial" w:eastAsia="Times New Roman" w:hAnsi="Arial" w:cs="Arial"/>
          <w:kern w:val="0"/>
          <w:sz w:val="22"/>
          <w:szCs w:val="22"/>
          <w:lang w:val="en-NZ" w:eastAsia="en-AU"/>
          <w14:ligatures w14:val="none"/>
        </w:rPr>
        <w:t>A</w:t>
      </w:r>
      <w:proofErr w:type="spellEnd"/>
      <w:r w:rsidRPr="00CE1C60">
        <w:rPr>
          <w:rFonts w:ascii="Arial" w:eastAsia="Times New Roman" w:hAnsi="Arial" w:cs="Arial"/>
          <w:kern w:val="0"/>
          <w:sz w:val="22"/>
          <w:szCs w:val="22"/>
          <w:lang w:val="en-NZ" w:eastAsia="en-AU"/>
          <w14:ligatures w14:val="none"/>
        </w:rPr>
        <w:t>.</w:t>
      </w:r>
    </w:p>
    <w:p w14:paraId="762A07A0" w14:textId="77777777" w:rsidR="00BE6005" w:rsidRPr="00CE1C60" w:rsidRDefault="00BE6005" w:rsidP="00BE6005">
      <w:pPr>
        <w:spacing w:before="40" w:after="0" w:line="240" w:lineRule="auto"/>
        <w:textAlignment w:val="baseline"/>
        <w:rPr>
          <w:rFonts w:ascii="Arial" w:eastAsia="Arial" w:hAnsi="Arial" w:cs="Arial"/>
          <w:kern w:val="0"/>
          <w:sz w:val="22"/>
          <w:szCs w:val="22"/>
          <w:lang w:val="en-NZ"/>
          <w14:ligatures w14:val="none"/>
        </w:rPr>
      </w:pPr>
    </w:p>
    <w:p w14:paraId="4573863A" w14:textId="77777777" w:rsidR="00BE6005" w:rsidRPr="00CE1C60" w:rsidRDefault="00BE6005" w:rsidP="00BE6005">
      <w:pPr>
        <w:spacing w:before="40" w:after="0" w:line="240" w:lineRule="auto"/>
        <w:textAlignment w:val="baseline"/>
        <w:rPr>
          <w:rFonts w:ascii="Arial" w:eastAsia="Times New Roman" w:hAnsi="Arial" w:cs="Arial"/>
          <w:b/>
          <w:bCs/>
          <w:color w:val="ED7D31"/>
          <w:kern w:val="0"/>
          <w:sz w:val="22"/>
          <w:szCs w:val="22"/>
          <w:lang w:val="en-NZ" w:eastAsia="en-AU"/>
          <w14:ligatures w14:val="none"/>
        </w:rPr>
      </w:pPr>
      <w:r w:rsidRPr="00CE1C60">
        <w:rPr>
          <w:rFonts w:ascii="Arial" w:eastAsia="Times New Roman" w:hAnsi="Arial" w:cs="Arial"/>
          <w:b/>
          <w:bCs/>
          <w:kern w:val="0"/>
          <w:sz w:val="22"/>
          <w:szCs w:val="22"/>
          <w:lang w:val="en-NZ" w:eastAsia="en-AU"/>
          <w14:ligatures w14:val="none"/>
        </w:rPr>
        <w:t>Tax deductibility of advice fees</w:t>
      </w:r>
    </w:p>
    <w:p w14:paraId="7BF137B5" w14:textId="77777777" w:rsidR="00BE6005" w:rsidRPr="00CE1C60" w:rsidRDefault="00BE6005" w:rsidP="00BE6005">
      <w:pPr>
        <w:spacing w:before="40" w:after="0" w:line="240" w:lineRule="auto"/>
        <w:textAlignment w:val="baseline"/>
        <w:rPr>
          <w:rFonts w:ascii="Arial" w:eastAsia="Times New Roman" w:hAnsi="Arial" w:cs="Arial"/>
          <w:b/>
          <w:bCs/>
          <w:kern w:val="0"/>
          <w:sz w:val="22"/>
          <w:szCs w:val="22"/>
          <w:lang w:val="en-NZ" w:eastAsia="en-AU"/>
          <w14:ligatures w14:val="none"/>
        </w:rPr>
      </w:pPr>
    </w:p>
    <w:p w14:paraId="6FF31662" w14:textId="42D0EC6A"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r w:rsidRPr="00CE1C60">
        <w:rPr>
          <w:rFonts w:ascii="Arial" w:eastAsia="Times New Roman" w:hAnsi="Arial" w:cs="Arial"/>
          <w:kern w:val="0"/>
          <w:sz w:val="22"/>
          <w:szCs w:val="22"/>
          <w:lang w:val="en-NZ" w:eastAsia="en-AU"/>
          <w14:ligatures w14:val="none"/>
        </w:rPr>
        <w:t xml:space="preserve">A portion of the fees you personally pay for financial advice may be tax-deductible, depending on the nature of the advice provided. Under s 25-5 of the </w:t>
      </w:r>
      <w:r w:rsidRPr="00CE1C60">
        <w:rPr>
          <w:rFonts w:ascii="Arial" w:eastAsia="Times New Roman" w:hAnsi="Arial" w:cs="Arial"/>
          <w:i/>
          <w:kern w:val="0"/>
          <w:sz w:val="22"/>
          <w:szCs w:val="22"/>
          <w:lang w:val="en-NZ" w:eastAsia="en-AU"/>
          <w14:ligatures w14:val="none"/>
        </w:rPr>
        <w:t>Income Tax Assessment Act 1997</w:t>
      </w:r>
      <w:r w:rsidRPr="00CE1C60">
        <w:rPr>
          <w:rFonts w:ascii="Arial" w:eastAsia="Times New Roman" w:hAnsi="Arial" w:cs="Arial"/>
          <w:kern w:val="0"/>
          <w:sz w:val="22"/>
          <w:szCs w:val="22"/>
          <w:lang w:val="en-NZ" w:eastAsia="en-AU"/>
          <w14:ligatures w14:val="none"/>
        </w:rPr>
        <w:t xml:space="preserve"> (ITAA 1997), fees related to managing your tax affairs, such as considering the tax implications of investment structuring, capital gains tax (CGT) planning, and deductible debt strategies, may be deductible. Additionally, under s 8-1 of ITAA 1997, </w:t>
      </w:r>
      <w:r w:rsidR="00745932">
        <w:rPr>
          <w:rFonts w:ascii="Arial" w:eastAsia="Times New Roman" w:hAnsi="Arial" w:cs="Arial"/>
          <w:kern w:val="0"/>
          <w:sz w:val="22"/>
          <w:szCs w:val="22"/>
          <w:lang w:val="en-NZ" w:eastAsia="en-AU"/>
          <w14:ligatures w14:val="none"/>
        </w:rPr>
        <w:t xml:space="preserve">ongoing </w:t>
      </w:r>
      <w:r w:rsidRPr="00CE1C60">
        <w:rPr>
          <w:rFonts w:ascii="Arial" w:eastAsia="Times New Roman" w:hAnsi="Arial" w:cs="Arial"/>
          <w:kern w:val="0"/>
          <w:sz w:val="22"/>
          <w:szCs w:val="22"/>
          <w:lang w:val="en-NZ" w:eastAsia="en-AU"/>
          <w14:ligatures w14:val="none"/>
        </w:rPr>
        <w:t>fees incurred in produc</w:t>
      </w:r>
      <w:r w:rsidR="00745932">
        <w:rPr>
          <w:rFonts w:ascii="Arial" w:eastAsia="Times New Roman" w:hAnsi="Arial" w:cs="Arial"/>
          <w:kern w:val="0"/>
          <w:sz w:val="22"/>
          <w:szCs w:val="22"/>
          <w:lang w:val="en-NZ" w:eastAsia="en-AU"/>
          <w14:ligatures w14:val="none"/>
        </w:rPr>
        <w:t>ing</w:t>
      </w:r>
      <w:r w:rsidRPr="00CE1C60">
        <w:rPr>
          <w:rFonts w:ascii="Arial" w:eastAsia="Times New Roman" w:hAnsi="Arial" w:cs="Arial"/>
          <w:kern w:val="0"/>
          <w:sz w:val="22"/>
          <w:szCs w:val="22"/>
          <w:lang w:val="en-NZ" w:eastAsia="en-AU"/>
          <w14:ligatures w14:val="none"/>
        </w:rPr>
        <w:t xml:space="preserve"> assessable income may also be deductible.</w:t>
      </w:r>
    </w:p>
    <w:p w14:paraId="5BAEA2B7"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p>
    <w:p w14:paraId="55A51CB9"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r w:rsidRPr="00CE1C60">
        <w:rPr>
          <w:rFonts w:ascii="Arial" w:eastAsia="Times New Roman" w:hAnsi="Arial" w:cs="Arial"/>
          <w:kern w:val="0"/>
          <w:sz w:val="22"/>
          <w:szCs w:val="22"/>
          <w:lang w:val="en-NZ" w:eastAsia="en-AU"/>
          <w14:ligatures w14:val="none"/>
        </w:rPr>
        <w:t>Please note that any advice fees paid via superannuation or pension products will not be eligible for a tax deduction.</w:t>
      </w:r>
    </w:p>
    <w:p w14:paraId="3A4BC1AB"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p>
    <w:p w14:paraId="07519C82"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r w:rsidRPr="00CE1C60">
        <w:rPr>
          <w:rFonts w:ascii="Arial" w:eastAsia="Times New Roman" w:hAnsi="Arial" w:cs="Arial"/>
          <w:kern w:val="0"/>
          <w:sz w:val="22"/>
          <w:szCs w:val="22"/>
          <w:lang w:val="en-NZ" w:eastAsia="en-AU"/>
          <w14:ligatures w14:val="none"/>
        </w:rPr>
        <w:t>Based on our assessment of the advice we have provided, we have calculated the portion of the advice fees that may be classified as a deductible expense:</w:t>
      </w:r>
    </w:p>
    <w:p w14:paraId="60EDE378" w14:textId="77777777" w:rsidR="00BE6005" w:rsidRPr="00CE1C60" w:rsidRDefault="00BE6005" w:rsidP="00BE6005">
      <w:pPr>
        <w:spacing w:before="40" w:after="120" w:line="312" w:lineRule="auto"/>
        <w:rPr>
          <w:rFonts w:ascii="Arial" w:eastAsia="Arial" w:hAnsi="Arial" w:cs="Arial"/>
          <w:kern w:val="0"/>
          <w:sz w:val="22"/>
          <w:szCs w:val="22"/>
          <w:lang w:val="en-NZ"/>
          <w14:ligatures w14:val="none"/>
        </w:rPr>
      </w:pPr>
    </w:p>
    <w:tbl>
      <w:tblPr>
        <w:tblStyle w:val="CAANZDefaulttable2"/>
        <w:tblW w:w="4947" w:type="pct"/>
        <w:tblLook w:val="0260" w:firstRow="1" w:lastRow="1" w:firstColumn="0" w:lastColumn="0" w:noHBand="1" w:noVBand="0"/>
      </w:tblPr>
      <w:tblGrid>
        <w:gridCol w:w="2128"/>
        <w:gridCol w:w="2267"/>
        <w:gridCol w:w="2267"/>
        <w:gridCol w:w="2268"/>
      </w:tblGrid>
      <w:tr w:rsidR="00BE6005" w:rsidRPr="00CE1C60" w14:paraId="374031B3" w14:textId="77777777" w:rsidTr="004F479B">
        <w:trPr>
          <w:cnfStyle w:val="100000000000" w:firstRow="1" w:lastRow="0" w:firstColumn="0" w:lastColumn="0" w:oddVBand="0" w:evenVBand="0" w:oddHBand="0" w:evenHBand="0" w:firstRowFirstColumn="0" w:firstRowLastColumn="0" w:lastRowFirstColumn="0" w:lastRowLastColumn="0"/>
        </w:trPr>
        <w:tc>
          <w:tcPr>
            <w:tcW w:w="1191" w:type="pct"/>
          </w:tcPr>
          <w:p w14:paraId="213C4DEF" w14:textId="77777777" w:rsidR="00BE6005" w:rsidRPr="00CE1C60" w:rsidRDefault="00BE6005" w:rsidP="00BE6005">
            <w:pPr>
              <w:spacing w:before="60" w:after="60"/>
              <w:rPr>
                <w:rFonts w:ascii="Arial" w:eastAsia="Arial" w:hAnsi="Arial" w:cs="Arial"/>
                <w:sz w:val="22"/>
                <w:szCs w:val="22"/>
              </w:rPr>
            </w:pPr>
            <w:r w:rsidRPr="00CE1C60">
              <w:rPr>
                <w:rFonts w:ascii="Arial" w:eastAsia="Times New Roman" w:hAnsi="Arial" w:cs="Arial"/>
                <w:bCs/>
                <w:sz w:val="22"/>
                <w:szCs w:val="22"/>
                <w:lang w:eastAsia="en-AU"/>
              </w:rPr>
              <w:t>Fee</w:t>
            </w:r>
          </w:p>
        </w:tc>
        <w:tc>
          <w:tcPr>
            <w:cnfStyle w:val="000001000000" w:firstRow="0" w:lastRow="0" w:firstColumn="0" w:lastColumn="0" w:oddVBand="0" w:evenVBand="1" w:oddHBand="0" w:evenHBand="0" w:firstRowFirstColumn="0" w:firstRowLastColumn="0" w:lastRowFirstColumn="0" w:lastRowLastColumn="0"/>
            <w:tcW w:w="1269" w:type="pct"/>
          </w:tcPr>
          <w:p w14:paraId="21868D69" w14:textId="77777777" w:rsidR="00BE6005" w:rsidRPr="00CE1C60" w:rsidRDefault="00BE6005" w:rsidP="00BE6005">
            <w:pPr>
              <w:spacing w:before="60" w:after="60"/>
              <w:rPr>
                <w:rFonts w:ascii="Arial" w:eastAsia="Arial" w:hAnsi="Arial" w:cs="Arial"/>
                <w:sz w:val="22"/>
                <w:szCs w:val="22"/>
              </w:rPr>
            </w:pPr>
            <w:r w:rsidRPr="00CE1C60">
              <w:rPr>
                <w:rFonts w:ascii="Arial" w:eastAsia="Times New Roman" w:hAnsi="Arial" w:cs="Arial"/>
                <w:bCs/>
                <w:sz w:val="22"/>
                <w:szCs w:val="22"/>
                <w:lang w:eastAsia="en-AU"/>
              </w:rPr>
              <w:t>Individual</w:t>
            </w:r>
          </w:p>
        </w:tc>
        <w:tc>
          <w:tcPr>
            <w:tcW w:w="1269" w:type="pct"/>
          </w:tcPr>
          <w:p w14:paraId="41EBC8D7" w14:textId="77777777" w:rsidR="00BE6005" w:rsidRPr="00CE1C60" w:rsidRDefault="00BE6005" w:rsidP="00BE6005">
            <w:pPr>
              <w:spacing w:before="60" w:after="60"/>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CE1C60">
              <w:rPr>
                <w:rFonts w:ascii="Arial" w:eastAsia="Times New Roman" w:hAnsi="Arial" w:cs="Arial"/>
                <w:bCs/>
                <w:sz w:val="22"/>
                <w:szCs w:val="22"/>
                <w:lang w:eastAsia="en-AU"/>
              </w:rPr>
              <w:t>Eligible advice fee</w:t>
            </w:r>
          </w:p>
        </w:tc>
        <w:tc>
          <w:tcPr>
            <w:cnfStyle w:val="000001000000" w:firstRow="0" w:lastRow="0" w:firstColumn="0" w:lastColumn="0" w:oddVBand="0" w:evenVBand="1" w:oddHBand="0" w:evenHBand="0" w:firstRowFirstColumn="0" w:firstRowLastColumn="0" w:lastRowFirstColumn="0" w:lastRowLastColumn="0"/>
            <w:tcW w:w="1270" w:type="pct"/>
          </w:tcPr>
          <w:p w14:paraId="0D84B5D4" w14:textId="77777777" w:rsidR="00BE6005" w:rsidRPr="00CE1C60" w:rsidRDefault="00BE6005" w:rsidP="00BE6005">
            <w:pPr>
              <w:spacing w:before="60" w:after="60"/>
              <w:rPr>
                <w:rFonts w:ascii="Arial" w:eastAsia="Arial" w:hAnsi="Arial" w:cs="Arial"/>
                <w:sz w:val="22"/>
                <w:szCs w:val="22"/>
              </w:rPr>
            </w:pPr>
            <w:r w:rsidRPr="00CE1C60">
              <w:rPr>
                <w:rFonts w:ascii="Arial" w:eastAsia="Times New Roman" w:hAnsi="Arial" w:cs="Arial"/>
                <w:bCs/>
                <w:sz w:val="22"/>
                <w:szCs w:val="22"/>
                <w:lang w:eastAsia="en-AU"/>
              </w:rPr>
              <w:t>Deductible portion</w:t>
            </w:r>
          </w:p>
        </w:tc>
      </w:tr>
      <w:tr w:rsidR="00745932" w:rsidRPr="00CE1C60" w14:paraId="55A9B1C2" w14:textId="77777777" w:rsidTr="0061717E">
        <w:tc>
          <w:tcPr>
            <w:tcW w:w="1191" w:type="pct"/>
            <w:vAlign w:val="center"/>
          </w:tcPr>
          <w:p w14:paraId="24F25FEA" w14:textId="77777777" w:rsidR="00745932" w:rsidRPr="00CE1C60" w:rsidRDefault="00745932" w:rsidP="0061717E">
            <w:pPr>
              <w:spacing w:before="60" w:after="60"/>
              <w:rPr>
                <w:rFonts w:eastAsia="Arial" w:cs="Arial"/>
                <w:sz w:val="22"/>
                <w:szCs w:val="22"/>
              </w:rPr>
            </w:pPr>
            <w:r w:rsidRPr="00CE1C60">
              <w:rPr>
                <w:rFonts w:eastAsia="Times New Roman" w:cs="Arial"/>
                <w:sz w:val="22"/>
                <w:szCs w:val="22"/>
                <w:lang w:eastAsia="en-AU"/>
              </w:rPr>
              <w:t>Initial advice fee</w:t>
            </w:r>
          </w:p>
        </w:tc>
        <w:tc>
          <w:tcPr>
            <w:cnfStyle w:val="000001000000" w:firstRow="0" w:lastRow="0" w:firstColumn="0" w:lastColumn="0" w:oddVBand="0" w:evenVBand="1" w:oddHBand="0" w:evenHBand="0" w:firstRowFirstColumn="0" w:firstRowLastColumn="0" w:lastRowFirstColumn="0" w:lastRowLastColumn="0"/>
            <w:tcW w:w="1269" w:type="pct"/>
            <w:vAlign w:val="center"/>
          </w:tcPr>
          <w:p w14:paraId="01564970" w14:textId="19F45234" w:rsidR="00745932" w:rsidRPr="00CE1C60" w:rsidRDefault="000F0D20" w:rsidP="0061717E">
            <w:pPr>
              <w:spacing w:before="60" w:after="60"/>
              <w:rPr>
                <w:rFonts w:eastAsia="Arial" w:cs="Arial"/>
                <w:sz w:val="22"/>
                <w:szCs w:val="22"/>
              </w:rPr>
            </w:pPr>
            <w:r>
              <w:rPr>
                <w:rFonts w:eastAsia="Times New Roman" w:cs="Arial"/>
                <w:sz w:val="22"/>
                <w:szCs w:val="22"/>
                <w:lang w:eastAsia="en-AU"/>
              </w:rPr>
              <w:t>Client1</w:t>
            </w:r>
          </w:p>
        </w:tc>
        <w:tc>
          <w:tcPr>
            <w:tcW w:w="1269" w:type="pct"/>
            <w:vAlign w:val="center"/>
          </w:tcPr>
          <w:p w14:paraId="664BEE5B" w14:textId="77777777" w:rsidR="00745932" w:rsidRPr="00CE1C60" w:rsidRDefault="00745932" w:rsidP="0061717E">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CE1C60">
              <w:rPr>
                <w:rFonts w:eastAsia="Times New Roman" w:cs="Arial"/>
                <w:sz w:val="22"/>
                <w:szCs w:val="22"/>
                <w:lang w:eastAsia="en-AU"/>
              </w:rPr>
              <w:t>[$X]</w:t>
            </w:r>
          </w:p>
        </w:tc>
        <w:tc>
          <w:tcPr>
            <w:cnfStyle w:val="000001000000" w:firstRow="0" w:lastRow="0" w:firstColumn="0" w:lastColumn="0" w:oddVBand="0" w:evenVBand="1" w:oddHBand="0" w:evenHBand="0" w:firstRowFirstColumn="0" w:firstRowLastColumn="0" w:lastRowFirstColumn="0" w:lastRowLastColumn="0"/>
            <w:tcW w:w="1270" w:type="pct"/>
            <w:vAlign w:val="center"/>
          </w:tcPr>
          <w:p w14:paraId="0A03FA65" w14:textId="77777777" w:rsidR="00745932" w:rsidRPr="00CE1C60" w:rsidRDefault="00745932" w:rsidP="0061717E">
            <w:pPr>
              <w:spacing w:before="60" w:after="60"/>
              <w:rPr>
                <w:rFonts w:eastAsia="Arial" w:cs="Arial"/>
                <w:sz w:val="22"/>
                <w:szCs w:val="22"/>
              </w:rPr>
            </w:pPr>
            <w:r w:rsidRPr="00CE1C60">
              <w:rPr>
                <w:rFonts w:eastAsia="Times New Roman" w:cs="Arial"/>
                <w:sz w:val="22"/>
                <w:szCs w:val="22"/>
                <w:lang w:eastAsia="en-AU"/>
              </w:rPr>
              <w:t>[$X]</w:t>
            </w:r>
          </w:p>
        </w:tc>
      </w:tr>
      <w:tr w:rsidR="00BE6005" w:rsidRPr="00CE1C60" w14:paraId="56228862" w14:textId="77777777" w:rsidTr="004F479B">
        <w:tc>
          <w:tcPr>
            <w:tcW w:w="1191" w:type="pct"/>
            <w:vAlign w:val="center"/>
          </w:tcPr>
          <w:p w14:paraId="34BF75E5" w14:textId="77777777"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Ongoing advice fee</w:t>
            </w:r>
          </w:p>
        </w:tc>
        <w:tc>
          <w:tcPr>
            <w:cnfStyle w:val="000001000000" w:firstRow="0" w:lastRow="0" w:firstColumn="0" w:lastColumn="0" w:oddVBand="0" w:evenVBand="1" w:oddHBand="0" w:evenHBand="0" w:firstRowFirstColumn="0" w:firstRowLastColumn="0" w:lastRowFirstColumn="0" w:lastRowLastColumn="0"/>
            <w:tcW w:w="1269" w:type="pct"/>
            <w:vAlign w:val="center"/>
          </w:tcPr>
          <w:p w14:paraId="301AB22D" w14:textId="7A76BB09"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Client</w:t>
            </w:r>
            <w:r w:rsidR="000F0D20">
              <w:rPr>
                <w:rFonts w:eastAsia="Times New Roman" w:cs="Arial"/>
                <w:sz w:val="22"/>
                <w:szCs w:val="22"/>
                <w:lang w:eastAsia="en-AU"/>
              </w:rPr>
              <w:t>1</w:t>
            </w:r>
          </w:p>
        </w:tc>
        <w:tc>
          <w:tcPr>
            <w:tcW w:w="1269" w:type="pct"/>
            <w:vAlign w:val="center"/>
          </w:tcPr>
          <w:p w14:paraId="0B3235FA" w14:textId="77777777" w:rsidR="00BE6005" w:rsidRPr="00CE1C60" w:rsidRDefault="00BE6005" w:rsidP="00BE6005">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CE1C60">
              <w:rPr>
                <w:rFonts w:eastAsia="Times New Roman" w:cs="Arial"/>
                <w:sz w:val="22"/>
                <w:szCs w:val="22"/>
                <w:lang w:eastAsia="en-AU"/>
              </w:rPr>
              <w:t>[$X]</w:t>
            </w:r>
          </w:p>
        </w:tc>
        <w:tc>
          <w:tcPr>
            <w:cnfStyle w:val="000001000000" w:firstRow="0" w:lastRow="0" w:firstColumn="0" w:lastColumn="0" w:oddVBand="0" w:evenVBand="1" w:oddHBand="0" w:evenHBand="0" w:firstRowFirstColumn="0" w:firstRowLastColumn="0" w:lastRowFirstColumn="0" w:lastRowLastColumn="0"/>
            <w:tcW w:w="1270" w:type="pct"/>
            <w:vAlign w:val="center"/>
          </w:tcPr>
          <w:p w14:paraId="204D7231" w14:textId="77777777"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[$X]</w:t>
            </w:r>
          </w:p>
        </w:tc>
      </w:tr>
      <w:tr w:rsidR="00BE6005" w:rsidRPr="00CE1C60" w14:paraId="448150E1" w14:textId="77777777" w:rsidTr="004F479B">
        <w:tc>
          <w:tcPr>
            <w:tcW w:w="1191" w:type="pct"/>
            <w:vAlign w:val="center"/>
          </w:tcPr>
          <w:p w14:paraId="05D6F57E" w14:textId="50E6684D" w:rsidR="00BE6005" w:rsidRPr="00CE1C60" w:rsidRDefault="00BE6005" w:rsidP="00BE6005">
            <w:pPr>
              <w:spacing w:before="60" w:after="60"/>
              <w:rPr>
                <w:rFonts w:eastAsia="Arial" w:cs="Arial"/>
                <w:sz w:val="22"/>
                <w:szCs w:val="22"/>
              </w:rPr>
            </w:pPr>
            <w:r w:rsidRPr="00CE1C60">
              <w:rPr>
                <w:rFonts w:eastAsia="Times New Roman" w:cs="Arial"/>
                <w:b/>
                <w:bCs/>
                <w:sz w:val="22"/>
                <w:szCs w:val="22"/>
                <w:lang w:eastAsia="en-AU"/>
              </w:rPr>
              <w:t xml:space="preserve">Total for </w:t>
            </w:r>
            <w:r w:rsidR="000F0D20">
              <w:rPr>
                <w:rFonts w:eastAsia="Times New Roman" w:cs="Arial"/>
                <w:b/>
                <w:bCs/>
                <w:sz w:val="22"/>
                <w:szCs w:val="22"/>
                <w:lang w:eastAsia="en-AU"/>
              </w:rPr>
              <w:t>Client1</w:t>
            </w:r>
          </w:p>
        </w:tc>
        <w:tc>
          <w:tcPr>
            <w:cnfStyle w:val="000001000000" w:firstRow="0" w:lastRow="0" w:firstColumn="0" w:lastColumn="0" w:oddVBand="0" w:evenVBand="1" w:oddHBand="0" w:evenHBand="0" w:firstRowFirstColumn="0" w:firstRowLastColumn="0" w:lastRowFirstColumn="0" w:lastRowLastColumn="0"/>
            <w:tcW w:w="1269" w:type="pct"/>
            <w:vAlign w:val="center"/>
          </w:tcPr>
          <w:p w14:paraId="229486BE" w14:textId="77777777" w:rsidR="00BE6005" w:rsidRPr="00CE1C60" w:rsidRDefault="00BE6005" w:rsidP="00BE6005">
            <w:pPr>
              <w:spacing w:before="60" w:after="60"/>
              <w:rPr>
                <w:rFonts w:eastAsia="Arial" w:cs="Arial"/>
                <w:sz w:val="22"/>
                <w:szCs w:val="22"/>
              </w:rPr>
            </w:pPr>
          </w:p>
        </w:tc>
        <w:tc>
          <w:tcPr>
            <w:tcW w:w="1269" w:type="pct"/>
            <w:vAlign w:val="center"/>
          </w:tcPr>
          <w:p w14:paraId="3701E1B1" w14:textId="77777777" w:rsidR="00BE6005" w:rsidRPr="00CE1C60" w:rsidRDefault="00BE6005" w:rsidP="00BE6005">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CE1C60">
              <w:rPr>
                <w:rFonts w:eastAsia="Times New Roman" w:cs="Arial"/>
                <w:b/>
                <w:bCs/>
                <w:sz w:val="22"/>
                <w:szCs w:val="22"/>
                <w:lang w:eastAsia="en-AU"/>
              </w:rPr>
              <w:t>[$X]</w:t>
            </w:r>
          </w:p>
        </w:tc>
        <w:tc>
          <w:tcPr>
            <w:cnfStyle w:val="000001000000" w:firstRow="0" w:lastRow="0" w:firstColumn="0" w:lastColumn="0" w:oddVBand="0" w:evenVBand="1" w:oddHBand="0" w:evenHBand="0" w:firstRowFirstColumn="0" w:firstRowLastColumn="0" w:lastRowFirstColumn="0" w:lastRowLastColumn="0"/>
            <w:tcW w:w="1270" w:type="pct"/>
            <w:vAlign w:val="center"/>
          </w:tcPr>
          <w:p w14:paraId="5E3C25C1" w14:textId="77777777" w:rsidR="00BE6005" w:rsidRPr="00CE1C60" w:rsidRDefault="00BE6005" w:rsidP="00BE6005">
            <w:pPr>
              <w:spacing w:before="60" w:after="60"/>
              <w:rPr>
                <w:rFonts w:eastAsia="Arial" w:cs="Arial"/>
                <w:sz w:val="22"/>
                <w:szCs w:val="22"/>
              </w:rPr>
            </w:pPr>
            <w:r w:rsidRPr="00CE1C60">
              <w:rPr>
                <w:rFonts w:eastAsia="Times New Roman" w:cs="Arial"/>
                <w:b/>
                <w:bCs/>
                <w:sz w:val="22"/>
                <w:szCs w:val="22"/>
                <w:lang w:eastAsia="en-AU"/>
              </w:rPr>
              <w:t>[$X]</w:t>
            </w:r>
          </w:p>
        </w:tc>
      </w:tr>
      <w:tr w:rsidR="00BE6005" w:rsidRPr="00CE1C60" w14:paraId="55657286" w14:textId="77777777" w:rsidTr="004F479B">
        <w:tc>
          <w:tcPr>
            <w:tcW w:w="1191" w:type="pct"/>
            <w:vAlign w:val="center"/>
          </w:tcPr>
          <w:p w14:paraId="30089391" w14:textId="77777777"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Initial advice fee</w:t>
            </w:r>
          </w:p>
        </w:tc>
        <w:tc>
          <w:tcPr>
            <w:cnfStyle w:val="000001000000" w:firstRow="0" w:lastRow="0" w:firstColumn="0" w:lastColumn="0" w:oddVBand="0" w:evenVBand="1" w:oddHBand="0" w:evenHBand="0" w:firstRowFirstColumn="0" w:firstRowLastColumn="0" w:lastRowFirstColumn="0" w:lastRowLastColumn="0"/>
            <w:tcW w:w="1269" w:type="pct"/>
            <w:vAlign w:val="center"/>
          </w:tcPr>
          <w:p w14:paraId="5411F49F" w14:textId="26BD1230" w:rsidR="00BE6005" w:rsidRPr="00CE1C60" w:rsidRDefault="000F0D20" w:rsidP="00BE6005">
            <w:pPr>
              <w:spacing w:before="60" w:after="60"/>
              <w:rPr>
                <w:rFonts w:eastAsia="Arial" w:cs="Arial"/>
                <w:sz w:val="22"/>
                <w:szCs w:val="22"/>
              </w:rPr>
            </w:pPr>
            <w:r>
              <w:rPr>
                <w:rFonts w:eastAsia="Times New Roman" w:cs="Arial"/>
                <w:sz w:val="22"/>
                <w:szCs w:val="22"/>
                <w:lang w:eastAsia="en-AU"/>
              </w:rPr>
              <w:t>Client2</w:t>
            </w:r>
          </w:p>
        </w:tc>
        <w:tc>
          <w:tcPr>
            <w:tcW w:w="1269" w:type="pct"/>
            <w:vAlign w:val="center"/>
          </w:tcPr>
          <w:p w14:paraId="4FE25486" w14:textId="77777777" w:rsidR="00BE6005" w:rsidRPr="00CE1C60" w:rsidRDefault="00BE6005" w:rsidP="00BE6005">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CE1C60">
              <w:rPr>
                <w:rFonts w:eastAsia="Times New Roman" w:cs="Arial"/>
                <w:sz w:val="22"/>
                <w:szCs w:val="22"/>
                <w:lang w:eastAsia="en-AU"/>
              </w:rPr>
              <w:t>[$X]</w:t>
            </w:r>
          </w:p>
        </w:tc>
        <w:tc>
          <w:tcPr>
            <w:cnfStyle w:val="000001000000" w:firstRow="0" w:lastRow="0" w:firstColumn="0" w:lastColumn="0" w:oddVBand="0" w:evenVBand="1" w:oddHBand="0" w:evenHBand="0" w:firstRowFirstColumn="0" w:firstRowLastColumn="0" w:lastRowFirstColumn="0" w:lastRowLastColumn="0"/>
            <w:tcW w:w="1270" w:type="pct"/>
            <w:vAlign w:val="center"/>
          </w:tcPr>
          <w:p w14:paraId="38D16D93" w14:textId="77777777"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[$X]</w:t>
            </w:r>
          </w:p>
        </w:tc>
      </w:tr>
      <w:tr w:rsidR="00BE6005" w:rsidRPr="00CE1C60" w14:paraId="2512BD0B" w14:textId="77777777" w:rsidTr="004F479B">
        <w:tc>
          <w:tcPr>
            <w:tcW w:w="1191" w:type="pct"/>
            <w:vAlign w:val="center"/>
          </w:tcPr>
          <w:p w14:paraId="2FE75B84" w14:textId="77777777"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Ongoing advice fee</w:t>
            </w:r>
          </w:p>
        </w:tc>
        <w:tc>
          <w:tcPr>
            <w:cnfStyle w:val="000001000000" w:firstRow="0" w:lastRow="0" w:firstColumn="0" w:lastColumn="0" w:oddVBand="0" w:evenVBand="1" w:oddHBand="0" w:evenHBand="0" w:firstRowFirstColumn="0" w:firstRowLastColumn="0" w:lastRowFirstColumn="0" w:lastRowLastColumn="0"/>
            <w:tcW w:w="1269" w:type="pct"/>
            <w:vAlign w:val="center"/>
          </w:tcPr>
          <w:p w14:paraId="59AEB2D0" w14:textId="48FD020A" w:rsidR="00BE6005" w:rsidRPr="00CE1C60" w:rsidRDefault="000F0D20" w:rsidP="00BE6005">
            <w:pPr>
              <w:spacing w:before="60" w:after="60"/>
              <w:rPr>
                <w:rFonts w:eastAsia="Arial" w:cs="Arial"/>
                <w:sz w:val="22"/>
                <w:szCs w:val="22"/>
              </w:rPr>
            </w:pPr>
            <w:r>
              <w:rPr>
                <w:rFonts w:eastAsia="Times New Roman" w:cs="Arial"/>
                <w:sz w:val="22"/>
                <w:szCs w:val="22"/>
                <w:lang w:eastAsia="en-AU"/>
              </w:rPr>
              <w:t>Client2</w:t>
            </w:r>
          </w:p>
        </w:tc>
        <w:tc>
          <w:tcPr>
            <w:tcW w:w="1269" w:type="pct"/>
            <w:vAlign w:val="center"/>
          </w:tcPr>
          <w:p w14:paraId="1E0EC9EE" w14:textId="77777777" w:rsidR="00BE6005" w:rsidRPr="00CE1C60" w:rsidRDefault="00BE6005" w:rsidP="00BE6005">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CE1C60">
              <w:rPr>
                <w:rFonts w:eastAsia="Times New Roman" w:cs="Arial"/>
                <w:sz w:val="22"/>
                <w:szCs w:val="22"/>
                <w:lang w:eastAsia="en-AU"/>
              </w:rPr>
              <w:t>[$X]</w:t>
            </w:r>
          </w:p>
        </w:tc>
        <w:tc>
          <w:tcPr>
            <w:cnfStyle w:val="000001000000" w:firstRow="0" w:lastRow="0" w:firstColumn="0" w:lastColumn="0" w:oddVBand="0" w:evenVBand="1" w:oddHBand="0" w:evenHBand="0" w:firstRowFirstColumn="0" w:firstRowLastColumn="0" w:lastRowFirstColumn="0" w:lastRowLastColumn="0"/>
            <w:tcW w:w="1270" w:type="pct"/>
            <w:vAlign w:val="center"/>
          </w:tcPr>
          <w:p w14:paraId="3865664F" w14:textId="77777777" w:rsidR="00BE6005" w:rsidRPr="00CE1C60" w:rsidRDefault="00BE6005" w:rsidP="00BE6005">
            <w:pPr>
              <w:spacing w:before="60" w:after="60"/>
              <w:rPr>
                <w:rFonts w:eastAsia="Arial" w:cs="Arial"/>
                <w:sz w:val="22"/>
                <w:szCs w:val="22"/>
              </w:rPr>
            </w:pPr>
            <w:r w:rsidRPr="00CE1C60">
              <w:rPr>
                <w:rFonts w:eastAsia="Times New Roman" w:cs="Arial"/>
                <w:sz w:val="22"/>
                <w:szCs w:val="22"/>
                <w:lang w:eastAsia="en-AU"/>
              </w:rPr>
              <w:t>[$X]</w:t>
            </w:r>
          </w:p>
        </w:tc>
      </w:tr>
      <w:tr w:rsidR="00BE6005" w:rsidRPr="00CE1C60" w14:paraId="577278B5" w14:textId="77777777" w:rsidTr="004F479B">
        <w:trPr>
          <w:cnfStyle w:val="010000000000" w:firstRow="0" w:lastRow="1" w:firstColumn="0" w:lastColumn="0" w:oddVBand="0" w:evenVBand="0" w:oddHBand="0" w:evenHBand="0" w:firstRowFirstColumn="0" w:firstRowLastColumn="0" w:lastRowFirstColumn="0" w:lastRowLastColumn="0"/>
        </w:trPr>
        <w:tc>
          <w:tcPr>
            <w:tcW w:w="1191" w:type="pct"/>
            <w:vAlign w:val="center"/>
          </w:tcPr>
          <w:p w14:paraId="5AEB0864" w14:textId="3B5F0CCF" w:rsidR="00BE6005" w:rsidRPr="00CE1C60" w:rsidRDefault="00BE6005" w:rsidP="00BE6005">
            <w:pPr>
              <w:spacing w:before="60" w:after="60"/>
              <w:rPr>
                <w:rFonts w:eastAsia="Times New Roman" w:cs="Arial"/>
                <w:sz w:val="22"/>
                <w:szCs w:val="22"/>
                <w:lang w:eastAsia="en-AU"/>
              </w:rPr>
            </w:pPr>
            <w:r w:rsidRPr="00CE1C60">
              <w:rPr>
                <w:rFonts w:eastAsia="Times New Roman" w:cs="Arial"/>
                <w:sz w:val="22"/>
                <w:szCs w:val="22"/>
                <w:lang w:eastAsia="en-AU"/>
              </w:rPr>
              <w:t xml:space="preserve">Total for </w:t>
            </w:r>
            <w:r w:rsidR="000F0D20">
              <w:rPr>
                <w:rFonts w:eastAsia="Times New Roman" w:cs="Arial"/>
                <w:sz w:val="22"/>
                <w:szCs w:val="22"/>
                <w:lang w:eastAsia="en-AU"/>
              </w:rPr>
              <w:t>Client2</w:t>
            </w:r>
          </w:p>
        </w:tc>
        <w:tc>
          <w:tcPr>
            <w:cnfStyle w:val="000001000000" w:firstRow="0" w:lastRow="0" w:firstColumn="0" w:lastColumn="0" w:oddVBand="0" w:evenVBand="1" w:oddHBand="0" w:evenHBand="0" w:firstRowFirstColumn="0" w:firstRowLastColumn="0" w:lastRowFirstColumn="0" w:lastRowLastColumn="0"/>
            <w:tcW w:w="1269" w:type="pct"/>
            <w:vAlign w:val="center"/>
          </w:tcPr>
          <w:p w14:paraId="05ADC36A" w14:textId="77777777" w:rsidR="00BE6005" w:rsidRPr="00CE1C60" w:rsidRDefault="00BE6005" w:rsidP="00BE6005">
            <w:pPr>
              <w:spacing w:before="60" w:after="60"/>
              <w:rPr>
                <w:rFonts w:eastAsia="Times New Roman" w:cs="Arial"/>
                <w:sz w:val="22"/>
                <w:szCs w:val="22"/>
                <w:lang w:eastAsia="en-AU"/>
              </w:rPr>
            </w:pPr>
          </w:p>
        </w:tc>
        <w:tc>
          <w:tcPr>
            <w:tcW w:w="1269" w:type="pct"/>
            <w:vAlign w:val="center"/>
          </w:tcPr>
          <w:p w14:paraId="762E803D" w14:textId="77777777" w:rsidR="00BE6005" w:rsidRPr="00CE1C60" w:rsidRDefault="00BE6005" w:rsidP="00BE6005">
            <w:pPr>
              <w:spacing w:before="60" w:after="60"/>
              <w:cnfStyle w:val="010000000000" w:firstRow="0" w:lastRow="1" w:firstColumn="0" w:lastColumn="0" w:oddVBand="0" w:evenVBand="0" w:oddHBand="0" w:evenHBand="0" w:firstRowFirstColumn="0" w:firstRowLastColumn="0" w:lastRowFirstColumn="0" w:lastRowLastColumn="0"/>
              <w:rPr>
                <w:rFonts w:eastAsia="Times New Roman" w:cs="Arial"/>
                <w:sz w:val="22"/>
                <w:szCs w:val="22"/>
                <w:lang w:eastAsia="en-AU"/>
              </w:rPr>
            </w:pPr>
            <w:r w:rsidRPr="00CE1C60">
              <w:rPr>
                <w:rFonts w:eastAsia="Times New Roman" w:cs="Arial"/>
                <w:bCs/>
                <w:sz w:val="22"/>
                <w:szCs w:val="22"/>
                <w:lang w:eastAsia="en-AU"/>
              </w:rPr>
              <w:t>[$X]</w:t>
            </w:r>
          </w:p>
        </w:tc>
        <w:tc>
          <w:tcPr>
            <w:cnfStyle w:val="000001000000" w:firstRow="0" w:lastRow="0" w:firstColumn="0" w:lastColumn="0" w:oddVBand="0" w:evenVBand="1" w:oddHBand="0" w:evenHBand="0" w:firstRowFirstColumn="0" w:firstRowLastColumn="0" w:lastRowFirstColumn="0" w:lastRowLastColumn="0"/>
            <w:tcW w:w="1270" w:type="pct"/>
            <w:vAlign w:val="center"/>
          </w:tcPr>
          <w:p w14:paraId="70FA8FFB" w14:textId="77777777" w:rsidR="00BE6005" w:rsidRPr="00CE1C60" w:rsidRDefault="00BE6005" w:rsidP="00BE6005">
            <w:pPr>
              <w:spacing w:before="60" w:after="60"/>
              <w:rPr>
                <w:rFonts w:eastAsia="Times New Roman" w:cs="Arial"/>
                <w:sz w:val="22"/>
                <w:szCs w:val="22"/>
                <w:lang w:eastAsia="en-AU"/>
              </w:rPr>
            </w:pPr>
            <w:r w:rsidRPr="00CE1C60">
              <w:rPr>
                <w:rFonts w:eastAsia="Times New Roman" w:cs="Arial"/>
                <w:bCs/>
                <w:sz w:val="22"/>
                <w:szCs w:val="22"/>
                <w:lang w:eastAsia="en-AU"/>
              </w:rPr>
              <w:t>[$X]</w:t>
            </w:r>
          </w:p>
        </w:tc>
      </w:tr>
    </w:tbl>
    <w:p w14:paraId="5D8DA094" w14:textId="77777777" w:rsidR="00BE6005" w:rsidRPr="00CE1C60" w:rsidRDefault="00BE6005" w:rsidP="00BE6005">
      <w:pPr>
        <w:spacing w:before="40" w:after="120" w:line="312" w:lineRule="auto"/>
        <w:rPr>
          <w:rFonts w:ascii="Arial" w:eastAsia="Times New Roman" w:hAnsi="Arial" w:cs="Arial"/>
          <w:kern w:val="0"/>
          <w:sz w:val="22"/>
          <w:szCs w:val="22"/>
          <w:lang w:val="en-NZ" w:eastAsia="en-AU"/>
          <w14:ligatures w14:val="none"/>
        </w:rPr>
      </w:pPr>
    </w:p>
    <w:p w14:paraId="1D562C07"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r w:rsidRPr="00CE1C60">
        <w:rPr>
          <w:rFonts w:ascii="Arial" w:eastAsia="Times New Roman" w:hAnsi="Arial" w:cs="Arial"/>
          <w:kern w:val="0"/>
          <w:sz w:val="22"/>
          <w:szCs w:val="22"/>
          <w:lang w:val="en-NZ" w:eastAsia="en-AU"/>
          <w14:ligatures w14:val="none"/>
        </w:rPr>
        <w:t>The attached invoice provides a detailed breakdown of the apportionment and the basis for this calculation.  We have also provided a letter that you can provide to your accountant to assist with your tax lodgement that details our basis for the calculations above.</w:t>
      </w:r>
    </w:p>
    <w:p w14:paraId="0DE3CF5B"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p>
    <w:p w14:paraId="77967C1E" w14:textId="77777777" w:rsidR="00BE6005" w:rsidRPr="00CE1C60" w:rsidRDefault="00BE6005" w:rsidP="00BE6005">
      <w:pPr>
        <w:spacing w:before="40" w:after="0" w:line="240" w:lineRule="auto"/>
        <w:textAlignment w:val="baseline"/>
        <w:rPr>
          <w:rFonts w:ascii="Arial" w:eastAsia="Times New Roman" w:hAnsi="Arial" w:cs="Arial"/>
          <w:kern w:val="0"/>
          <w:sz w:val="22"/>
          <w:szCs w:val="22"/>
          <w:lang w:val="en-NZ" w:eastAsia="en-AU"/>
          <w14:ligatures w14:val="none"/>
        </w:rPr>
      </w:pPr>
      <w:r w:rsidRPr="00CE1C60">
        <w:rPr>
          <w:rFonts w:ascii="Arial" w:eastAsia="Times New Roman" w:hAnsi="Arial" w:cs="Arial"/>
          <w:kern w:val="0"/>
          <w:sz w:val="22"/>
          <w:szCs w:val="22"/>
          <w:lang w:val="en-NZ" w:eastAsia="en-AU"/>
          <w14:ligatures w14:val="none"/>
        </w:rPr>
        <w:t>This guidance is based on our understanding of current tax laws and Australian Taxation Office (ATO) guidance. Your eligibility to claim a deduction will depend on your individual circumstances. We recommend consulting with a registered tax agent to confirm deductibility and ensure compliance with ATO requirements. The ATO may request evidence to support any claim made, so we recommend retaining this document, along with the attached invoice, for your records.</w:t>
      </w:r>
    </w:p>
    <w:p w14:paraId="5D483DFB" w14:textId="77777777" w:rsidR="00090627" w:rsidRPr="00CE1C60" w:rsidRDefault="00090627" w:rsidP="001211B0">
      <w:pPr>
        <w:rPr>
          <w:rFonts w:ascii="Arial" w:hAnsi="Arial" w:cs="Arial"/>
          <w:sz w:val="22"/>
          <w:szCs w:val="22"/>
        </w:rPr>
      </w:pPr>
    </w:p>
    <w:sectPr w:rsidR="00090627" w:rsidRPr="00CE1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59"/>
    <w:rsid w:val="00090627"/>
    <w:rsid w:val="000B3818"/>
    <w:rsid w:val="000F0D20"/>
    <w:rsid w:val="0011772C"/>
    <w:rsid w:val="001211B0"/>
    <w:rsid w:val="001A6770"/>
    <w:rsid w:val="00286370"/>
    <w:rsid w:val="002C593E"/>
    <w:rsid w:val="002F1DAA"/>
    <w:rsid w:val="00451A02"/>
    <w:rsid w:val="004F479B"/>
    <w:rsid w:val="006048B3"/>
    <w:rsid w:val="00730A60"/>
    <w:rsid w:val="00745932"/>
    <w:rsid w:val="008808FF"/>
    <w:rsid w:val="009063C9"/>
    <w:rsid w:val="00A0556F"/>
    <w:rsid w:val="00A238CC"/>
    <w:rsid w:val="00AC5FA6"/>
    <w:rsid w:val="00BE6005"/>
    <w:rsid w:val="00C15238"/>
    <w:rsid w:val="00C57715"/>
    <w:rsid w:val="00C6450A"/>
    <w:rsid w:val="00C74F96"/>
    <w:rsid w:val="00CC108B"/>
    <w:rsid w:val="00CE1C60"/>
    <w:rsid w:val="00D501FB"/>
    <w:rsid w:val="00DA05D8"/>
    <w:rsid w:val="00DC0D0C"/>
    <w:rsid w:val="00E24149"/>
    <w:rsid w:val="00E86659"/>
    <w:rsid w:val="00F34A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E36DD"/>
  <w15:chartTrackingRefBased/>
  <w15:docId w15:val="{E768FCAA-3A93-4EB1-86F5-D9AEC137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6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6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6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6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6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6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6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6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6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6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6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6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6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6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6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6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6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659"/>
    <w:rPr>
      <w:rFonts w:eastAsiaTheme="majorEastAsia" w:cstheme="majorBidi"/>
      <w:color w:val="272727" w:themeColor="text1" w:themeTint="D8"/>
    </w:rPr>
  </w:style>
  <w:style w:type="paragraph" w:styleId="Title">
    <w:name w:val="Title"/>
    <w:basedOn w:val="Normal"/>
    <w:next w:val="Normal"/>
    <w:link w:val="TitleChar"/>
    <w:uiPriority w:val="10"/>
    <w:qFormat/>
    <w:rsid w:val="00E866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6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6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6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659"/>
    <w:pPr>
      <w:spacing w:before="160"/>
      <w:jc w:val="center"/>
    </w:pPr>
    <w:rPr>
      <w:i/>
      <w:iCs/>
      <w:color w:val="404040" w:themeColor="text1" w:themeTint="BF"/>
    </w:rPr>
  </w:style>
  <w:style w:type="character" w:customStyle="1" w:styleId="QuoteChar">
    <w:name w:val="Quote Char"/>
    <w:basedOn w:val="DefaultParagraphFont"/>
    <w:link w:val="Quote"/>
    <w:uiPriority w:val="29"/>
    <w:rsid w:val="00E86659"/>
    <w:rPr>
      <w:i/>
      <w:iCs/>
      <w:color w:val="404040" w:themeColor="text1" w:themeTint="BF"/>
    </w:rPr>
  </w:style>
  <w:style w:type="paragraph" w:styleId="ListParagraph">
    <w:name w:val="List Paragraph"/>
    <w:basedOn w:val="Normal"/>
    <w:uiPriority w:val="34"/>
    <w:qFormat/>
    <w:rsid w:val="00E86659"/>
    <w:pPr>
      <w:ind w:left="720"/>
      <w:contextualSpacing/>
    </w:pPr>
  </w:style>
  <w:style w:type="character" w:styleId="IntenseEmphasis">
    <w:name w:val="Intense Emphasis"/>
    <w:basedOn w:val="DefaultParagraphFont"/>
    <w:uiPriority w:val="21"/>
    <w:qFormat/>
    <w:rsid w:val="00E86659"/>
    <w:rPr>
      <w:i/>
      <w:iCs/>
      <w:color w:val="0F4761" w:themeColor="accent1" w:themeShade="BF"/>
    </w:rPr>
  </w:style>
  <w:style w:type="paragraph" w:styleId="IntenseQuote">
    <w:name w:val="Intense Quote"/>
    <w:basedOn w:val="Normal"/>
    <w:next w:val="Normal"/>
    <w:link w:val="IntenseQuoteChar"/>
    <w:uiPriority w:val="30"/>
    <w:qFormat/>
    <w:rsid w:val="00E86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659"/>
    <w:rPr>
      <w:i/>
      <w:iCs/>
      <w:color w:val="0F4761" w:themeColor="accent1" w:themeShade="BF"/>
    </w:rPr>
  </w:style>
  <w:style w:type="character" w:styleId="IntenseReference">
    <w:name w:val="Intense Reference"/>
    <w:basedOn w:val="DefaultParagraphFont"/>
    <w:uiPriority w:val="32"/>
    <w:qFormat/>
    <w:rsid w:val="00E86659"/>
    <w:rPr>
      <w:b/>
      <w:bCs/>
      <w:smallCaps/>
      <w:color w:val="0F4761" w:themeColor="accent1" w:themeShade="BF"/>
      <w:spacing w:val="5"/>
    </w:rPr>
  </w:style>
  <w:style w:type="table" w:customStyle="1" w:styleId="CAANZDefaulttable1">
    <w:name w:val="CA ANZ Default table1"/>
    <w:basedOn w:val="TableNormal"/>
    <w:next w:val="TableGrid"/>
    <w:uiPriority w:val="39"/>
    <w:rsid w:val="00E86659"/>
    <w:pPr>
      <w:spacing w:before="140" w:after="40" w:line="312" w:lineRule="auto"/>
      <w:ind w:left="85" w:right="85"/>
    </w:pPr>
    <w:rPr>
      <w:rFonts w:ascii="Arial" w:hAnsi="Arial"/>
      <w:color w:val="000000"/>
      <w:kern w:val="0"/>
      <w:sz w:val="16"/>
      <w:szCs w:val="20"/>
      <w:lang w:val="en-NZ"/>
      <w14:ligatures w14:val="none"/>
    </w:rPr>
    <w:tblPr>
      <w:tblStyleColBandSize w:val="1"/>
      <w:tblBorders>
        <w:top w:val="single" w:sz="6" w:space="0" w:color="0934C1"/>
        <w:bottom w:val="single" w:sz="6" w:space="0" w:color="0934C1"/>
        <w:insideH w:val="single" w:sz="2" w:space="0" w:color="0934C1"/>
        <w:insideV w:val="single" w:sz="18" w:space="0" w:color="FFFFFF"/>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Yu Gothic Light" w:hAnsi="Yu Gothic Light"/>
        <w:b/>
        <w:i w:val="0"/>
        <w:color w:val="000000"/>
        <w:sz w:val="16"/>
      </w:rPr>
      <w:tblPr/>
      <w:tcPr>
        <w:tcBorders>
          <w:top w:val="single" w:sz="6" w:space="0" w:color="0934C1"/>
          <w:left w:val="nil"/>
          <w:bottom w:val="nil"/>
          <w:right w:val="nil"/>
          <w:insideH w:val="nil"/>
          <w:insideV w:val="single" w:sz="18" w:space="0" w:color="FFFFFF"/>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right w:val="nil"/>
          <w:insideH w:val="nil"/>
          <w:insideV w:val="single" w:sz="18" w:space="0" w:color="FFFFFF"/>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sz w:val="16"/>
      </w:rPr>
    </w:tblStylePr>
    <w:tblStylePr w:type="band2Vert">
      <w:rPr>
        <w:rFonts w:ascii="Arial" w:hAnsi="Arial"/>
        <w:b w:val="0"/>
        <w:i w:val="0"/>
        <w:color w:val="000000"/>
        <w:sz w:val="16"/>
      </w:rPr>
      <w:tblPr/>
      <w:tcPr>
        <w:shd w:val="clear" w:color="auto" w:fill="EEF1FA"/>
      </w:tcPr>
    </w:tblStylePr>
  </w:style>
  <w:style w:type="table" w:styleId="TableGrid">
    <w:name w:val="Table Grid"/>
    <w:basedOn w:val="TableNormal"/>
    <w:uiPriority w:val="39"/>
    <w:rsid w:val="00E86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ANZDefaulttable2">
    <w:name w:val="CA ANZ Default table2"/>
    <w:basedOn w:val="TableNormal"/>
    <w:next w:val="TableGrid"/>
    <w:uiPriority w:val="39"/>
    <w:rsid w:val="00BE6005"/>
    <w:pPr>
      <w:spacing w:before="140" w:after="40" w:line="312" w:lineRule="auto"/>
      <w:ind w:left="85" w:right="85"/>
    </w:pPr>
    <w:rPr>
      <w:rFonts w:ascii="Arial" w:hAnsi="Arial"/>
      <w:color w:val="000000"/>
      <w:kern w:val="0"/>
      <w:sz w:val="16"/>
      <w:szCs w:val="20"/>
      <w:lang w:val="en-NZ"/>
      <w14:ligatures w14:val="none"/>
    </w:rPr>
    <w:tblPr>
      <w:tblStyleColBandSize w:val="1"/>
      <w:tblBorders>
        <w:top w:val="single" w:sz="6" w:space="0" w:color="0934C1"/>
        <w:bottom w:val="single" w:sz="6" w:space="0" w:color="0934C1"/>
        <w:insideH w:val="single" w:sz="2" w:space="0" w:color="0934C1"/>
        <w:insideV w:val="single" w:sz="18" w:space="0" w:color="FFFFFF"/>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ptos Display" w:hAnsi="Aptos Display"/>
        <w:b/>
        <w:i w:val="0"/>
        <w:color w:val="000000"/>
        <w:sz w:val="16"/>
      </w:rPr>
      <w:tblPr/>
      <w:tcPr>
        <w:tcBorders>
          <w:top w:val="single" w:sz="6" w:space="0" w:color="0934C1"/>
          <w:left w:val="nil"/>
          <w:bottom w:val="nil"/>
          <w:right w:val="nil"/>
          <w:insideH w:val="nil"/>
          <w:insideV w:val="single" w:sz="18" w:space="0" w:color="FFFFFF"/>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right w:val="nil"/>
          <w:insideH w:val="nil"/>
          <w:insideV w:val="single" w:sz="18" w:space="0" w:color="FFFFFF"/>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sz w:val="16"/>
      </w:rPr>
    </w:tblStylePr>
    <w:tblStylePr w:type="band2Vert">
      <w:rPr>
        <w:rFonts w:ascii="Arial" w:hAnsi="Arial"/>
        <w:b w:val="0"/>
        <w:i w:val="0"/>
        <w:color w:val="000000"/>
        <w:sz w:val="16"/>
      </w:rPr>
      <w:tblPr/>
      <w:tcPr>
        <w:shd w:val="clear" w:color="auto" w:fill="EEF1FA"/>
      </w:tcPr>
    </w:tblStylePr>
  </w:style>
  <w:style w:type="character" w:styleId="CommentReference">
    <w:name w:val="annotation reference"/>
    <w:basedOn w:val="DefaultParagraphFont"/>
    <w:uiPriority w:val="99"/>
    <w:semiHidden/>
    <w:unhideWhenUsed/>
    <w:rsid w:val="00C57715"/>
    <w:rPr>
      <w:sz w:val="16"/>
      <w:szCs w:val="16"/>
    </w:rPr>
  </w:style>
  <w:style w:type="paragraph" w:styleId="CommentText">
    <w:name w:val="annotation text"/>
    <w:basedOn w:val="Normal"/>
    <w:link w:val="CommentTextChar"/>
    <w:uiPriority w:val="99"/>
    <w:unhideWhenUsed/>
    <w:rsid w:val="00C57715"/>
    <w:pPr>
      <w:spacing w:line="240" w:lineRule="auto"/>
    </w:pPr>
    <w:rPr>
      <w:sz w:val="20"/>
      <w:szCs w:val="20"/>
    </w:rPr>
  </w:style>
  <w:style w:type="character" w:customStyle="1" w:styleId="CommentTextChar">
    <w:name w:val="Comment Text Char"/>
    <w:basedOn w:val="DefaultParagraphFont"/>
    <w:link w:val="CommentText"/>
    <w:uiPriority w:val="99"/>
    <w:rsid w:val="00C57715"/>
    <w:rPr>
      <w:sz w:val="20"/>
      <w:szCs w:val="20"/>
    </w:rPr>
  </w:style>
  <w:style w:type="paragraph" w:styleId="CommentSubject">
    <w:name w:val="annotation subject"/>
    <w:basedOn w:val="CommentText"/>
    <w:next w:val="CommentText"/>
    <w:link w:val="CommentSubjectChar"/>
    <w:uiPriority w:val="99"/>
    <w:semiHidden/>
    <w:unhideWhenUsed/>
    <w:rsid w:val="00C57715"/>
    <w:rPr>
      <w:b/>
      <w:bCs/>
    </w:rPr>
  </w:style>
  <w:style w:type="character" w:customStyle="1" w:styleId="CommentSubjectChar">
    <w:name w:val="Comment Subject Char"/>
    <w:basedOn w:val="CommentTextChar"/>
    <w:link w:val="CommentSubject"/>
    <w:uiPriority w:val="99"/>
    <w:semiHidden/>
    <w:rsid w:val="00C57715"/>
    <w:rPr>
      <w:b/>
      <w:bCs/>
      <w:sz w:val="20"/>
      <w:szCs w:val="20"/>
    </w:rPr>
  </w:style>
  <w:style w:type="paragraph" w:styleId="Revision">
    <w:name w:val="Revision"/>
    <w:hidden/>
    <w:uiPriority w:val="99"/>
    <w:semiHidden/>
    <w:rsid w:val="00451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7DEB3A0453D4DA04C19ABF7AFCE76" ma:contentTypeVersion="18" ma:contentTypeDescription="Create a new document." ma:contentTypeScope="" ma:versionID="e908dd4c8081b62ba3e49f3e766d41af">
  <xsd:schema xmlns:xsd="http://www.w3.org/2001/XMLSchema" xmlns:xs="http://www.w3.org/2001/XMLSchema" xmlns:p="http://schemas.microsoft.com/office/2006/metadata/properties" xmlns:ns2="d3a4ece4-17ad-4343-9fec-52aa8b13a730" xmlns:ns3="46a65078-e7d1-4b67-9a6e-9934fae41738" targetNamespace="http://schemas.microsoft.com/office/2006/metadata/properties" ma:root="true" ma:fieldsID="bb89903afb98450444761b6d93a3d95b" ns2:_="" ns3:_="">
    <xsd:import namespace="d3a4ece4-17ad-4343-9fec-52aa8b13a730"/>
    <xsd:import namespace="46a65078-e7d1-4b67-9a6e-9934fae41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4ece4-17ad-4343-9fec-52aa8b13a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655d8-eba7-41d3-855a-fe04da3932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65078-e7d1-4b67-9a6e-9934fae417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5b01ad-7337-4360-8f73-1ef1ecba1ada}" ma:internalName="TaxCatchAll" ma:showField="CatchAllData" ma:web="46a65078-e7d1-4b67-9a6e-9934fae41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a4ece4-17ad-4343-9fec-52aa8b13a730">
      <Terms xmlns="http://schemas.microsoft.com/office/infopath/2007/PartnerControls"/>
    </lcf76f155ced4ddcb4097134ff3c332f>
    <TaxCatchAll xmlns="46a65078-e7d1-4b67-9a6e-9934fae417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7E7CC-BF4F-4DE7-9F2B-79AB17A0B3FA}"/>
</file>

<file path=customXml/itemProps2.xml><?xml version="1.0" encoding="utf-8"?>
<ds:datastoreItem xmlns:ds="http://schemas.openxmlformats.org/officeDocument/2006/customXml" ds:itemID="{F09FDD1B-10E8-4250-B634-0658EA84049C}">
  <ds:schemaRefs>
    <ds:schemaRef ds:uri="http://schemas.microsoft.com/office/2006/metadata/properties"/>
    <ds:schemaRef ds:uri="http://purl.org/dc/terms/"/>
    <ds:schemaRef ds:uri="7e214b36-ddd7-4bdd-8249-baa6369b8681"/>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E22F4F-290C-4A67-8C01-0B2A3310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1620</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Russell</dc:creator>
  <cp:keywords/>
  <dc:description/>
  <cp:lastModifiedBy>David Barrett</cp:lastModifiedBy>
  <cp:revision>2</cp:revision>
  <dcterms:created xsi:type="dcterms:W3CDTF">2025-05-21T22:48:00Z</dcterms:created>
  <dcterms:modified xsi:type="dcterms:W3CDTF">2025-05-21T22:48:00Z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1f4c8d5a-aca5-4945-8ea3-275fbf5b45e0</vt:lpwstr>
  </property>
  <property fmtid="{D5CDD505-2E9C-101B-9397-08002B2CF9AE}" pid="3" name="ContentTypeId">
    <vt:lpwstr>0x0101009E47DEB3A0453D4DA04C19ABF7AFCE76</vt:lpwstr>
  </property>
</Properties>
</file>